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FF5B18"/>
          <w:sz w:val="21"/>
        </w:rPr>
        <w:t>БИЗНЕС ПОД МИКРОСКОПОМ</w:t>
      </w:r>
    </w:p>
    <w:p>
      <w:pPr>
        <w:pStyle w:val="Title"/>
        <w:spacing w:after="40"/>
      </w:pPr>
      <w:r>
        <w:t>АБОНЕМЕНТНАЯ МОДЕЛЬ — 2026: КАК ПРЕВРАТИТЬ РАЗОВЫЕ ПРОДАЖИ В ПОВТОРНУЮ ВЫРУЧКУ</w:t>
      </w:r>
    </w:p>
    <w:p>
      <w:pPr>
        <w:spacing w:after="200"/>
      </w:pPr>
      <w:r>
        <w:rPr>
          <w:i/>
          <w:color w:val="6E6E73"/>
          <w:sz w:val="19"/>
        </w:rPr>
        <w:t>Аналитика бизнес-модели · фактчек 27.08.2026 · сценарии для малого бизнеса</w:t>
      </w:r>
    </w:p>
    <w:tbl>
      <w:tblPr>
        <w:tblW w:type="auto" w:w="0"/>
        <w:jc w:val="center"/>
        <w:tblLayout w:type="autofit"/>
        <w:tblLook w:firstColumn="1" w:firstRow="1" w:lastColumn="0" w:lastRow="0" w:noHBand="0" w:noVBand="1" w:val="04A0"/>
      </w:tblPr>
      <w:tblGrid>
        <w:gridCol w:w="3457"/>
        <w:gridCol w:w="3457"/>
        <w:gridCol w:w="3457"/>
      </w:tblGrid>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Показатель BASE</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Значение</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Как читать</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Цена подписки</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1 990 ₽/мес.</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Сценарный input, не рыночная средняя</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Monthly churn</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10%</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Каждый месяц уходит около 1/10 активной базы</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LTV/CAC</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r>
              <w:t>≈ 3,77x</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r>
              <w:t>Единый расчёт после сценарной налоговой нагрузки; проходит ориентир модели</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Payback</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 2,65 мес.</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CAC окупается contribution подписчика</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Cash владельца M1</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 –36,9 тыс.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Разгон может быть убыточным</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Cash владельца M12</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 +49,1 тыс.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BASE при сохранении вводов</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Capacity M12</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 64%</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Есть операционный буфер</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Вердикт</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ПЕРСПЕКТИВНО ПРИ УСЛОВИЯХ</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Подписка не выигрывает автоматически</w:t>
            </w:r>
          </w:p>
        </w:tc>
      </w:tr>
    </w:tbl>
    <w:p/>
    <w:p>
      <w:pPr>
        <w:pStyle w:val="Heading1"/>
      </w:pPr>
      <w:r>
        <w:t>1. Как пользоваться комплектом</w:t>
      </w:r>
    </w:p>
    <w:p>
      <w:r>
        <w:t>Сначала используйте этот документ, чтобы определить, подходит ли вашему бизнесу повторная модель вообще. Затем откройте Excel и замените BASE-вводы на свои цены, churn, CAC, себестоимость и физическую capacity. После этого пройдите toolkit и проведите ограниченный пилот. Масштабирование до полноценного автопродления имеет смысл только после того, как вы увидели реальные когорты удержания и проверили процесс отмены.</w:t>
      </w:r>
    </w:p>
    <w:p>
      <w:r>
        <w:t>В комплект входят: аналитический документ, финансовая модель XLSX, специализированный toolkit и 90-дневный сценарий перехода. Все цифры, кроме явно помеченных фактов и правовых норм, являются сценарными.</w:t>
      </w:r>
    </w:p>
    <w:p>
      <w:pPr>
        <w:pStyle w:val="Heading1"/>
      </w:pPr>
      <w:r>
        <w:t>2. Короткий вывод</w:t>
      </w:r>
    </w:p>
    <w:tbl>
      <w:tblPr>
        <w:tblW w:type="auto" w:w="0"/>
        <w:tblLook w:firstColumn="1" w:firstRow="1" w:lastColumn="0" w:lastRow="0" w:noHBand="0" w:noVBand="1" w:val="04A0"/>
      </w:tblPr>
      <w:tblGrid>
        <w:gridCol w:w="10370"/>
      </w:tblGrid>
      <w:tr>
        <w:tc>
          <w:tcPr>
            <w:tcW w:type="dxa" w:w="10370"/>
            <w:shd w:fill="FFF0E8"/>
            <w:tcBorders>
              <w:top w:val="single" w:sz="5" w:color="F3B798"/>
              <w:left w:val="single" w:sz="5" w:color="F3B798"/>
              <w:bottom w:val="single" w:sz="5" w:color="F3B798"/>
              <w:right w:val="single" w:sz="5" w:color="F3B798"/>
              <w:insideH w:val="single" w:sz="5" w:color="F3B798"/>
              <w:insideV w:val="single" w:sz="5" w:color="F3B798"/>
            </w:tcBorders>
          </w:tcPr>
          <w:p>
            <w:pPr>
              <w:spacing w:after="0"/>
            </w:pPr>
            <w:r>
              <w:rPr>
                <w:b/>
                <w:color w:val="B33B0C"/>
                <w:sz w:val="20"/>
              </w:rPr>
              <w:t>Подписка — это не способ «заставить клиента платить каждый месяц». Это способ регулярно продавать регулярно возникающую ценность. Если ценность возникает редко, capacity дорогая или клиент не понимает, зачем продлеваться, MRR превращается в красивую, но хрупкую цифру.</w:t>
            </w:r>
          </w:p>
        </w:tc>
      </w:tr>
    </w:tbl>
    <w:p/>
    <w:p>
      <w:r>
        <w:t>В BASE-модели подписка сначала проигрывает по cash: M1 около –36,9 тыс. ₽ из-за CAC и затрат на разгон. К M6 результат становится положительным (~14,4 тыс. ₽), а к M12 — около 49,1 тыс. ₽. В M12 средняя биллинговая база составляет около 158 клиентов, поэтому выручка / cash-in месяца — около 315 тыс. ₽. На конец M12 активная база составляет около 160 клиентов, а run-rate MRR — около 319 тыс. ₽. Это полезный результат: модель не маскирует запуск под мгновенно прибыльный бизнес и не смешивает фактическую выручку месяца с run-rate показателем на конец периода.</w:t>
      </w:r>
    </w:p>
    <w:p>
      <w:pPr>
        <w:pStyle w:val="Heading1"/>
      </w:pPr>
      <w:r>
        <w:t>3. Не путать: подписка, абонемент, пакет и membership</w:t>
      </w:r>
    </w:p>
    <w:tbl>
      <w:tblPr>
        <w:tblW w:type="auto" w:w="0"/>
        <w:jc w:val="center"/>
        <w:tblLayout w:type="autofit"/>
        <w:tblLook w:firstColumn="1" w:firstRow="1" w:lastColumn="0" w:lastRow="0" w:noHBand="0" w:noVBand="1" w:val="04A0"/>
      </w:tblPr>
      <w:tblGrid>
        <w:gridCol w:w="2592"/>
        <w:gridCol w:w="2592"/>
        <w:gridCol w:w="2592"/>
        <w:gridCol w:w="2592"/>
      </w:tblGrid>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Механика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За что платит клиент</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Когда сильна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Главный риск</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Подписка на доступ</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За непрерывный доступ к продукту/сервису</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SaaS, контент, сервис с постоянной полезностью</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Низкая вовлечённость → churn</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Абонентская услуга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За право требовать оговорённое исполнение</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Регулярное обслуживание, сопровождение</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Недооценённая себестоимость и capacity</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Пакет / предоплата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За фиксированное число будущих использований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Красота, спорт, сервисные визиты</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Cash пришёл раньше исполнения</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Membership / клуб</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За привилегии, цены, приоритет, сервис</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Высокая частота покупок</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Выгода съедает маржу</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B2B retainer</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За регулярную доступность/объём работ</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Маркетинг, IT, бухгалтерия, обслуживание</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Scope creep и переработки</w:t>
            </w:r>
          </w:p>
        </w:tc>
      </w:tr>
    </w:tbl>
    <w:p/>
    <w:p>
      <w:r>
        <w:t>По статье 429.4 ГК РФ абонентский договор может предусматривать периодические платежи за право требовать исполнение в определённом объёме. Но конкретная конструкция, права на отказ и возвраты зависят от продукта, договора и статуса клиента; название «подписка» само по себе ничего не решает.</w:t>
      </w:r>
    </w:p>
    <w:p>
      <w:pPr>
        <w:pStyle w:val="Heading1"/>
      </w:pPr>
      <w:r>
        <w:t>4. Что происходит на рынке — и чего эти данные НЕ доказывают</w:t>
      </w:r>
    </w:p>
    <w:p>
      <w:r>
        <w:t>Подписочное потребление в России уже стало привычным в цифровых и экосистемных продуктах. Frank RG в феврале 2026 года выпустила ежегодное исследование рынка экосистемных подписок за 2025 год. В обзорах 2026 года рынок описывается как перешедший от взрывного роста к более зрелой фазе. Это важный поведенческий сигнал: регулярная оплата понятна пользователю. Но он НЕ означает, что локальному салону, клинингу или сервисной мастерской достаточно добавить автосписание, чтобы получить устойчивый recurring revenue.</w:t>
      </w:r>
    </w:p>
    <w:p>
      <w:r>
        <w:t>Практически полезнее смотреть не на общий TAM подписок, а на собственную частоту потребности: сколько клиентов и без подписки возвращаются через 30, 60 и 90 дней.</w:t>
      </w:r>
    </w:p>
    <w:p>
      <w:pPr>
        <w:pStyle w:val="Heading1"/>
      </w:pPr>
      <w:r>
        <w:t>5. Тест регулярной ценности: семь вопросов до расчётов</w:t>
      </w:r>
    </w:p>
    <w:p>
      <w:pPr>
        <w:pStyle w:val="ListBullet"/>
        <w:spacing w:after="50"/>
      </w:pPr>
      <w:r>
        <w:t>Возникает ли у клиента одна и та же задача минимум раз в 1–3 месяца?</w:t>
      </w:r>
    </w:p>
    <w:p>
      <w:pPr>
        <w:pStyle w:val="ListBullet"/>
        <w:spacing w:after="50"/>
      </w:pPr>
      <w:r>
        <w:t>Можно ли заранее описать объём исполнения без постоянных индивидуальных переговоров?</w:t>
      </w:r>
    </w:p>
    <w:p>
      <w:pPr>
        <w:pStyle w:val="ListBullet"/>
        <w:spacing w:after="50"/>
      </w:pPr>
      <w:r>
        <w:t>Получает ли клиент выгоду даже в месяц, когда не использовал максимум возможного?</w:t>
      </w:r>
    </w:p>
    <w:p>
      <w:pPr>
        <w:pStyle w:val="ListBullet"/>
        <w:spacing w:after="50"/>
      </w:pPr>
      <w:r>
        <w:t>Может ли бизнес выдержать высокий usage без очередей и ухудшения качества?</w:t>
      </w:r>
    </w:p>
    <w:p>
      <w:pPr>
        <w:pStyle w:val="ListBullet"/>
        <w:spacing w:after="50"/>
      </w:pPr>
      <w:r>
        <w:t>Есть ли причина оставаться, кроме скидки?</w:t>
      </w:r>
    </w:p>
    <w:p>
      <w:pPr>
        <w:pStyle w:val="ListBullet"/>
        <w:spacing w:after="50"/>
      </w:pPr>
      <w:r>
        <w:t>Можно ли легко объяснить правила паузы, отмены и переноса?</w:t>
      </w:r>
    </w:p>
    <w:p>
      <w:pPr>
        <w:pStyle w:val="ListBullet"/>
        <w:spacing w:after="50"/>
      </w:pPr>
      <w:r>
        <w:t>Есть ли данные о повторных продажах, а не только вера в лояльность?</w:t>
      </w:r>
    </w:p>
    <w:p>
      <w:pPr>
        <w:pStyle w:val="Heading1"/>
      </w:pPr>
      <w:r>
        <w:t>6. Где модель чаще выглядит логично</w:t>
      </w:r>
    </w:p>
    <w:tbl>
      <w:tblPr>
        <w:tblW w:type="auto" w:w="0"/>
        <w:jc w:val="center"/>
        <w:tblLayout w:type="autofit"/>
        <w:tblLook w:firstColumn="1" w:firstRow="1" w:lastColumn="0" w:lastRow="0" w:noHBand="0" w:noVBand="1" w:val="04A0"/>
      </w:tblPr>
      <w:tblGrid>
        <w:gridCol w:w="2592"/>
        <w:gridCol w:w="2592"/>
        <w:gridCol w:w="2592"/>
        <w:gridCol w:w="2592"/>
      </w:tblGrid>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Ниша/сценарий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Оценка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Подходящая механика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Почему</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Регулярное техническое обслуживание</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Сильный кандидат</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Абонент + SLA</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Повторяемая задача и понятный scope</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Клининг / бытовой сервис</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Сильный/средний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Пакет или фиксированные визиты</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Частота есть, но важна логистика</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Beauty / wellness</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Средний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Пакет + membership</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Нельзя игнорировать capacity мастеров</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B2B сопровождение</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Сильный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Retainer</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Клиент покупает доступность и регулярный объём</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Розница с высокой частотой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Средний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Membership / привилегии</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Подписка монетизирует лояльность</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Разовый ремонт / проектная услуга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Слабый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Разовая продажа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Нет регулярной ценности</w:t>
            </w:r>
          </w:p>
        </w:tc>
      </w:tr>
      <w:tr>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Индивидуальный дизайн/строительство</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Слабый</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Этапная оплата</w:t>
            </w:r>
          </w:p>
        </w:tc>
        <w:tc>
          <w:tcPr>
            <w:tcW w:type="dxa" w:w="2592"/>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Подписка искусственна</w:t>
            </w:r>
          </w:p>
        </w:tc>
      </w:tr>
    </w:tbl>
    <w:p/>
    <w:p>
      <w:pPr>
        <w:pStyle w:val="Heading1"/>
      </w:pPr>
      <w:r>
        <w:t>7. Цена: подписка должна быть выгодна клиенту, но не разрушать маржу</w:t>
      </w:r>
    </w:p>
    <w:p>
      <w:r>
        <w:t>Плохая логика: взять средний разовый чек и дать 20–30% скидки «за подписку». Хорошая логика: сначала определить ожидаемый usage, стоимость исполнения, стоимость поддержки, комиссии, возвраты, CAC и запас capacity — и только затем строить цену.</w:t>
      </w:r>
    </w:p>
    <w:tbl>
      <w:tblPr>
        <w:tblW w:type="auto" w:w="0"/>
        <w:jc w:val="center"/>
        <w:tblLayout w:type="autofit"/>
        <w:tblLook w:firstColumn="1" w:firstRow="1" w:lastColumn="0" w:lastRow="0" w:noHBand="0" w:noVBand="1" w:val="04A0"/>
      </w:tblPr>
      <w:tblGrid>
        <w:gridCol w:w="3457"/>
        <w:gridCol w:w="3457"/>
        <w:gridCol w:w="3457"/>
      </w:tblGrid>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Элемент цены</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BASE XLSX</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Зачем</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Месячная цена</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1 990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ARPU</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Usage</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65%</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Сколько активных реально потребляют включённую услугу</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Себестоимость использования</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1 100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Главный физический variable cost</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Support / active</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150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Коммуникации, CRM, обслуживание</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Платёжные расходы</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2,2%</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Сценарный тариф</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Refund reserve</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1%</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Управленческий резерв</w:t>
            </w:r>
          </w:p>
        </w:tc>
      </w:tr>
    </w:tbl>
    <w:p/>
    <w:p>
      <w:r>
        <w:t>Contribution одного активного подписчика после сценарной налоговой нагрузки в BASE — около 942 ₽/мес. Это то, что должно окупить CAC, fixed и рост.</w:t>
      </w:r>
    </w:p>
    <w:p>
      <w:pPr>
        <w:pStyle w:val="Heading1"/>
      </w:pPr>
      <w:r>
        <w:t>8. Churn важнее красивого MRR</w:t>
      </w:r>
    </w:p>
    <w:p>
      <w:r>
        <w:t>При churn 10% простая модель удержания даёт retention около 53% к шестому месяцу и около 28% к двенадцатому. То есть один и тот же MRR может скрывать совершенно разные бизнесы: один держится на удержании, другой постоянно покупает замену ушедшим клиентам.</w:t>
      </w:r>
    </w:p>
    <w:tbl>
      <w:tblPr>
        <w:tblW w:type="auto" w:w="0"/>
        <w:jc w:val="center"/>
        <w:tblLayout w:type="autofit"/>
        <w:tblLook w:firstColumn="1" w:firstRow="1" w:lastColumn="0" w:lastRow="0" w:noHBand="0" w:noVBand="1" w:val="04A0"/>
      </w:tblPr>
      <w:tblGrid>
        <w:gridCol w:w="1728"/>
        <w:gridCol w:w="1728"/>
        <w:gridCol w:w="1728"/>
        <w:gridCol w:w="1728"/>
        <w:gridCol w:w="1728"/>
        <w:gridCol w:w="1728"/>
      </w:tblGrid>
      <w:tr>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Сценарий</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Churn</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LTV/CAC</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Payback</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M12 active</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Вердикт модели</w:t>
            </w:r>
          </w:p>
        </w:tc>
      </w:tr>
      <w:tr>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STRESS</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15%</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≈1,23x</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≈5,43 мес.</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≈77</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ПЕРЕПРОВЕРИТЬ</w:t>
            </w:r>
          </w:p>
        </w:tc>
      </w:tr>
      <w:tr>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WEAK</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12%</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≈2,28x</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≈3,66 мес.</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≈118</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ПЕРЕПРОВЕРИТЬ</w:t>
            </w:r>
          </w:p>
        </w:tc>
      </w:tr>
      <w:tr>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BASE</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10%</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r>
              <w:t>≈3,77x</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≈2,65 мес.</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≈160</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ПЕРСПЕКТИВНО</w:t>
            </w:r>
          </w:p>
        </w:tc>
      </w:tr>
      <w:tr>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STRONG</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6%</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≈9,76x</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≈1,71 мес.</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≈273</w:t>
            </w:r>
          </w:p>
        </w:tc>
        <w:tc>
          <w:tcPr>
            <w:tcW w:type="dxa" w:w="1728"/>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ПЕРЕПРОВЕРИТЬ ИЗ-ЗА CAPACITY</w:t>
            </w:r>
          </w:p>
        </w:tc>
      </w:tr>
    </w:tbl>
    <w:p/>
    <w:p>
      <w:r>
        <w:t>Последняя строка особенно важна: даже «сильная» маркетинговая модель у нас не получает автоматический GO. При большом числе активных клиентов usage поднимает загрузку примерно до 94% capacity, поэтому рост без расширения операций становится опасным.</w:t>
      </w:r>
    </w:p>
    <w:p>
      <w:pPr>
        <w:pStyle w:val="Heading1"/>
      </w:pPr>
      <w:r>
        <w:t>9. LTV/CAC и payback — пользоваться как системой, а не магическими числами</w:t>
      </w:r>
    </w:p>
    <w:p>
      <w:r>
        <w:t>В отраслевых материалах часто используют LTV/CAC около 3x как контрольный ориентир. Mindbox также приводит такую логику, но сам показатель не является универсальным нормативом. Для капиталоёмкой услуги, сезонного бизнеса или высокой неопределённости нужен больший запас.</w:t>
      </w:r>
    </w:p>
    <w:p>
      <w:r>
        <w:t>BASE Excel показывает LTV/CAC ≈3,77x и payback ≈2,65 месяца. LTV/CAC теперь во всех листах считается на одной базе — contribution после сценарной налоговой нагрузки, делённый на churn, затем на CAC. Эти цифры выглядят здоровыми только при условии, что churn, usage и CAC действительно подтверждены реальным пилотом.</w:t>
      </w:r>
    </w:p>
    <w:p>
      <w:pPr>
        <w:pStyle w:val="Heading1"/>
      </w:pPr>
      <w:r>
        <w:t>10. Почему «безлимит» часто опасен</w:t>
      </w:r>
    </w:p>
    <w:p>
      <w:pPr>
        <w:pStyle w:val="ListBullet"/>
        <w:spacing w:after="50"/>
      </w:pPr>
      <w:r>
        <w:t>Активный клиент пользуется больше среднего и превращается из выгодного в убыточного.</w:t>
      </w:r>
    </w:p>
    <w:p>
      <w:pPr>
        <w:pStyle w:val="ListBullet"/>
        <w:spacing w:after="50"/>
      </w:pPr>
      <w:r>
        <w:t>Самые активные пользователи первыми занимают дефицитные слоты.</w:t>
      </w:r>
    </w:p>
    <w:p>
      <w:pPr>
        <w:pStyle w:val="ListBullet"/>
        <w:spacing w:after="50"/>
      </w:pPr>
      <w:r>
        <w:t>Маркетинг продаёт «безлимит», а операции вынуждены вводить скрытые ограничения.</w:t>
      </w:r>
    </w:p>
    <w:p>
      <w:pPr>
        <w:pStyle w:val="ListBullet"/>
        <w:spacing w:after="50"/>
      </w:pPr>
      <w:r>
        <w:t>В пиковые часы качество падает, что одновременно повышает churn.</w:t>
      </w:r>
    </w:p>
    <w:p>
      <w:pPr>
        <w:pStyle w:val="ListBullet"/>
        <w:spacing w:after="50"/>
      </w:pPr>
      <w:r>
        <w:t>Команда начинает считать не contribution, а только число подписчиков.</w:t>
      </w:r>
    </w:p>
    <w:p>
      <w:r>
        <w:t>Для физического сервиса безопаснее начинать с credit-based модели, фиксированного числа визитов, fair-use или чётких окон использования, а не с неограниченного потребления.</w:t>
      </w:r>
    </w:p>
    <w:p>
      <w:pPr>
        <w:pStyle w:val="Heading1"/>
      </w:pPr>
      <w:r>
        <w:t>11. Касса, обязательства и «эффект богатого месяца»</w:t>
      </w:r>
    </w:p>
    <w:p>
      <w:r>
        <w:t>Пакет или годовая предоплата создают сильный cash-in. Но часть денег экономически относится к будущему исполнению. Если потратить весь аванс как прибыль, бизнес может столкнуться с ситуацией, когда услугу ещё нужно оказать, а деньги уже израсходованы.</w:t>
      </w:r>
    </w:p>
    <w:tbl>
      <w:tblPr>
        <w:tblW w:type="auto" w:w="0"/>
        <w:tblLook w:firstColumn="1" w:firstRow="1" w:lastColumn="0" w:lastRow="0" w:noHBand="0" w:noVBand="1" w:val="04A0"/>
      </w:tblPr>
      <w:tblGrid>
        <w:gridCol w:w="10370"/>
      </w:tblGrid>
      <w:tr>
        <w:tc>
          <w:tcPr>
            <w:tcW w:type="dxa" w:w="10370"/>
            <w:shd w:fill="FFF0E8"/>
            <w:tcBorders>
              <w:top w:val="single" w:sz="5" w:color="F3B798"/>
              <w:left w:val="single" w:sz="5" w:color="F3B798"/>
              <w:bottom w:val="single" w:sz="5" w:color="F3B798"/>
              <w:right w:val="single" w:sz="5" w:color="F3B798"/>
              <w:insideH w:val="single" w:sz="5" w:color="F3B798"/>
              <w:insideV w:val="single" w:sz="5" w:color="F3B798"/>
            </w:tcBorders>
          </w:tcPr>
          <w:p>
            <w:pPr>
              <w:spacing w:after="0"/>
            </w:pPr>
            <w:r>
              <w:rPr>
                <w:b/>
                <w:color w:val="B33B0C"/>
                <w:sz w:val="20"/>
              </w:rPr>
              <w:t>Правило управления: для каждой предоплаты отдельно считать минимум три вещи — cash received, будущую себестоимость исполнения и резерв capacity.</w:t>
            </w:r>
          </w:p>
        </w:tc>
      </w:tr>
    </w:tbl>
    <w:p/>
    <w:p>
      <w:pPr>
        <w:pStyle w:val="Heading1"/>
      </w:pPr>
      <w:r>
        <w:t>12. Право и автосписание: что особенно важно в 2026 году</w:t>
      </w:r>
    </w:p>
    <w:p>
      <w:r>
        <w:t>С 1 марта 2026 года для онлайн-сервисов в B2C действует важное изменение: если потребитель выразил отказ от использования данных банковской карты для расчётов, сервис не вправе продолжать периодические списания по этим данным. Изменение внесено Федеральным законом №376-ФЗ в статью 16.1 Закона о защите прав потребителей; Роспотребнадзор отдельно разъяснял применение.</w:t>
      </w:r>
    </w:p>
    <w:p>
      <w:r>
        <w:t>Для услуг также критично право клиента на отказ от договора. Статья 782 ГК РФ предусматривает право заказчика отказаться от договора возмездного оказания услуг при оплате фактически понесённых исполнителем расходов. Поэтому модель должна проектировать отмену и возвраты заранее, а не пытаться «закрыть» клиента штрафным UX.</w:t>
      </w:r>
    </w:p>
    <w:p>
      <w:pPr>
        <w:pStyle w:val="ListBullet"/>
        <w:spacing w:after="50"/>
      </w:pPr>
      <w:r>
        <w:t>Понятно показать цену, период, автопродление и что входит в тариф.</w:t>
      </w:r>
    </w:p>
    <w:p>
      <w:pPr>
        <w:pStyle w:val="ListBullet"/>
        <w:spacing w:after="50"/>
      </w:pPr>
      <w:r>
        <w:t>Дать рабочий канал отказа/отключения платёжных данных там, где применимо.</w:t>
      </w:r>
    </w:p>
    <w:p>
      <w:pPr>
        <w:pStyle w:val="ListBullet"/>
        <w:spacing w:after="50"/>
      </w:pPr>
      <w:r>
        <w:t>Не делать отмену сложнее подключения.</w:t>
      </w:r>
    </w:p>
    <w:p>
      <w:pPr>
        <w:pStyle w:val="ListBullet"/>
        <w:spacing w:after="50"/>
      </w:pPr>
      <w:r>
        <w:t>Хранить доказательства согласия и изменения условий.</w:t>
      </w:r>
    </w:p>
    <w:p>
      <w:pPr>
        <w:pStyle w:val="ListBullet"/>
        <w:spacing w:after="50"/>
      </w:pPr>
      <w:r>
        <w:t>Отдельно согласовать правила заморозки, переноса неиспользованного объёма и возвратов.</w:t>
      </w:r>
    </w:p>
    <w:p>
      <w:pPr>
        <w:pStyle w:val="Heading1"/>
      </w:pPr>
      <w:r>
        <w:t>13. Налоги: предоплата может опережать исполнение</w:t>
      </w:r>
    </w:p>
    <w:p>
      <w:r>
        <w:t>У налоговой и управленческой логики разные временные оси. ФНС в разъяснениях по УСН/АвтоУСН напоминает о кассовом методе и учёте предварительной оплаты в соответствующих режимах. Одновременно в 2026 году для УСН действует отдельная сложная рамка НДС. Поэтому универсальную ставку для подписки задавать нельзя.</w:t>
      </w:r>
    </w:p>
    <w:p>
      <w:r>
        <w:t>В Excel 6% используется только как сценарная нагрузка на денежные поступления. Перед запуском нужно заменить её на фактическую модель и проверить НДС.</w:t>
      </w:r>
    </w:p>
    <w:p>
      <w:pPr>
        <w:pStyle w:val="Heading1"/>
      </w:pPr>
      <w:r>
        <w:t>14. P&amp;L BASE: почему мы не обещаем мгновенную прибыль</w:t>
      </w:r>
    </w:p>
    <w:tbl>
      <w:tblPr>
        <w:tblW w:type="auto" w:w="0"/>
        <w:jc w:val="center"/>
        <w:tblLayout w:type="autofit"/>
        <w:tblLook w:firstColumn="1" w:firstRow="1" w:lastColumn="0" w:lastRow="0" w:noHBand="0" w:noVBand="1" w:val="04A0"/>
      </w:tblPr>
      <w:tblGrid>
        <w:gridCol w:w="3457"/>
        <w:gridCol w:w="3457"/>
        <w:gridCol w:w="3457"/>
      </w:tblGrid>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Период</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Ориентир cash владельца</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Что происходит</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M1</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 –36,9 тыс.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CAC и fixed опережают эффект базы</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M6</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 +14,4 тыс.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База стала достаточно большой для покрытия fixed</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M12</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 +49,1 тыс. ₽</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Подписка начинает давать устойчивый вклад</w:t>
            </w:r>
          </w:p>
        </w:tc>
      </w:tr>
    </w:tbl>
    <w:p/>
    <w:p>
      <w:r>
        <w:t>Steady-state break-even в модели — около 73 активных подписчиков при заданных вводах. Это не «точка безубыточности любого бизнеса», а результат конкретного набора BASE-параметров.</w:t>
      </w:r>
    </w:p>
    <w:p>
      <w:pPr>
        <w:pStyle w:val="Heading1"/>
      </w:pPr>
      <w:r>
        <w:t>15. Пакет иногда лучше подписки</w:t>
      </w:r>
    </w:p>
    <w:p>
      <w:r>
        <w:t>Если клиентская задача регулярна, но не ежемесячна, пакет может быть честнее: клиент предоплачивает 4–10 использований, бизнес получает cash заранее, а churn заменяется показателями redemption и повторной покупки пакета. Подписка нужна не ради слова recurring, а когда cadence действительно соответствует периоду платежа.</w:t>
      </w:r>
    </w:p>
    <w:p>
      <w:pPr>
        <w:pStyle w:val="Heading1"/>
      </w:pPr>
      <w:r>
        <w:t>16. Когда membership лучше включённой услуги</w:t>
      </w:r>
    </w:p>
    <w:p>
      <w:r>
        <w:t>Для розницы и высокочастотных покупок бизнес может продавать не сам товар по подписке, а условия: повышенные бонусы, сервис, приоритет, бесплатную доставку, закрытые цены. Mindbox приводит X5 «Пакет» как пример подписки-надстройки над основной моделью. Экономика здесь должна считать не только fee, но и инкрементальную частоту/чек минус стоимость предоставленной выгоды.</w:t>
      </w:r>
    </w:p>
    <w:p>
      <w:pPr>
        <w:pStyle w:val="Heading1"/>
      </w:pPr>
      <w:r>
        <w:t>17. B2B retainer: другая природа churn</w:t>
      </w:r>
    </w:p>
    <w:p>
      <w:r>
        <w:t>В B2B клиент часто покупает не «одну услугу в месяц», а доступность команды, SLA и определённый объём. Главный риск здесь — scope creep: объём фактической работы растёт, а fee остаётся прежним. Нужны лимиты часов/задач, response time и правила overage.</w:t>
      </w:r>
    </w:p>
    <w:p>
      <w:pPr>
        <w:pStyle w:val="Heading1"/>
      </w:pPr>
      <w:r>
        <w:t>18. KPI, которые должны жить на одном экране</w:t>
      </w:r>
    </w:p>
    <w:tbl>
      <w:tblPr>
        <w:tblW w:type="auto" w:w="0"/>
        <w:jc w:val="center"/>
        <w:tblLayout w:type="autofit"/>
        <w:tblLook w:firstColumn="1" w:firstRow="1" w:lastColumn="0" w:lastRow="0" w:noHBand="0" w:noVBand="1" w:val="04A0"/>
      </w:tblPr>
      <w:tblGrid>
        <w:gridCol w:w="3457"/>
        <w:gridCol w:w="3457"/>
        <w:gridCol w:w="3457"/>
      </w:tblGrid>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KPI</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Что показывает</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Красный сигнал</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r>
              <w:t>Run-rate MRR</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r>
              <w:t>Размер recurring-базы на конец периода</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Растёт только за счёт скидок</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New paid</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Новый приток</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Рост CAC</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Monthly churn</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Уход базы</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&gt;12–15% без понятной причины</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Retention 3/6/12m</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Качество когорт</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Падает у новых когорт</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ARPU</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Доход на активного</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Не покрывает usage</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Contribution/active</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Реальный вклад</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Снижается при росте usage</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LTV/CAC</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Окупаемость привлечения</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&lt;3x как тревожный heuristic</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Payback</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Скорость возврата CAC</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&gt;6 мес. для короткой cash-модели</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Capacity utilization</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Операционная нагрузка</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&gt;85% длительно</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Cancellation reasons</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Почему уходят</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Не измеряется</w:t>
            </w:r>
          </w:p>
        </w:tc>
      </w:tr>
    </w:tbl>
    <w:p/>
    <w:p>
      <w:pPr>
        <w:pStyle w:val="Heading1"/>
      </w:pPr>
      <w:r>
        <w:t>19. Stop-conditions</w:t>
      </w:r>
    </w:p>
    <w:tbl>
      <w:tblPr>
        <w:tblW w:type="auto" w:w="0"/>
        <w:jc w:val="center"/>
        <w:tblLayout w:type="autofit"/>
        <w:tblLook w:firstColumn="1" w:firstRow="1" w:lastColumn="0" w:lastRow="0" w:noHBand="0" w:noVBand="1" w:val="04A0"/>
      </w:tblPr>
      <w:tblGrid>
        <w:gridCol w:w="3457"/>
        <w:gridCol w:w="3457"/>
        <w:gridCol w:w="3457"/>
      </w:tblGrid>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Сигнал</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Что означает</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141414"/>
          </w:tcPr>
          <w:p>
            <w:pPr>
              <w:spacing w:after="30"/>
            </w:pPr>
            <w:r>
              <w:rPr>
                <w:rFonts w:ascii="Noto Sans" w:hAnsi="Noto Sans"/>
                <w:b/>
                <w:color w:val="FFFFFF"/>
                <w:sz w:val="16"/>
              </w:rPr>
              <w:t>Решение</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Churn &gt;15% два месяца подряд</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Ценность не удерживает</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Стоп масштабированию, разбор сегментов</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LTV/CAC &lt;2x</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Привлечение почти не окупается</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Сократить paid growth</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Payback &gt;6–9 мес. при малом запасе cash</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Рост съедает оборотку</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Снижать CAC/повышать contribution</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Capacity &gt;90%</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Риск качества и очередей</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Ограничить продажи / расширить ресурс</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Отмены сложно обработать</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Юр. и репутационный риск</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Исправить UX до роста</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Большая доля клиентов берёт максимум включённого</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Прайс недооценил usage</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AF8F4"/>
          </w:tcPr>
          <w:p>
            <w:pPr>
              <w:spacing w:after="30"/>
            </w:pPr>
            <w:r>
              <w:rPr>
                <w:rFonts w:ascii="Noto Sans" w:hAnsi="Noto Sans"/>
                <w:color w:val="141414"/>
                <w:sz w:val="16"/>
              </w:rPr>
              <w:t>Пересобрать тариф</w:t>
            </w:r>
          </w:p>
        </w:tc>
      </w:tr>
      <w:tr>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Подписка продаётся только со скидкой</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Нет самостоятельной ценности</w:t>
            </w:r>
          </w:p>
        </w:tc>
        <w:tc>
          <w:tcPr>
            <w:tcW w:type="dxa" w:w="3457"/>
            <w:tcBorders>
              <w:top w:val="single" w:sz="5" w:color="E4DED5"/>
              <w:left w:val="single" w:sz="5" w:color="E4DED5"/>
              <w:bottom w:val="single" w:sz="5" w:color="E4DED5"/>
              <w:right w:val="single" w:sz="5" w:color="E4DED5"/>
              <w:insideH w:val="single" w:sz="5" w:color="E4DED5"/>
              <w:insideV w:val="single" w:sz="5" w:color="E4DED5"/>
            </w:tcBorders>
            <w:vAlign w:val="center"/>
            <w:shd w:fill="FFFFFF"/>
          </w:tcPr>
          <w:p>
            <w:pPr>
              <w:spacing w:after="30"/>
            </w:pPr>
            <w:r>
              <w:rPr>
                <w:rFonts w:ascii="Noto Sans" w:hAnsi="Noto Sans"/>
                <w:color w:val="141414"/>
                <w:sz w:val="16"/>
              </w:rPr>
              <w:t>Перейти к пакету/membership</w:t>
            </w:r>
          </w:p>
        </w:tc>
      </w:tr>
    </w:tbl>
    <w:p/>
    <w:p>
      <w:pPr>
        <w:pStyle w:val="Heading1"/>
      </w:pPr>
      <w:r>
        <w:t>20. Итоговый вердикт</w:t>
      </w:r>
    </w:p>
    <w:tbl>
      <w:tblPr>
        <w:tblW w:type="auto" w:w="0"/>
        <w:tblLook w:firstColumn="1" w:firstRow="1" w:lastColumn="0" w:lastRow="0" w:noHBand="0" w:noVBand="1" w:val="04A0"/>
      </w:tblPr>
      <w:tblGrid>
        <w:gridCol w:w="10370"/>
      </w:tblGrid>
      <w:tr>
        <w:tc>
          <w:tcPr>
            <w:tcW w:type="dxa" w:w="10370"/>
            <w:shd w:fill="FFF0E8"/>
            <w:tcBorders>
              <w:top w:val="single" w:sz="5" w:color="F3B798"/>
              <w:left w:val="single" w:sz="5" w:color="F3B798"/>
              <w:bottom w:val="single" w:sz="5" w:color="F3B798"/>
              <w:right w:val="single" w:sz="5" w:color="F3B798"/>
              <w:insideH w:val="single" w:sz="5" w:color="F3B798"/>
              <w:insideV w:val="single" w:sz="5" w:color="F3B798"/>
            </w:tcBorders>
          </w:tcPr>
          <w:p>
            <w:pPr>
              <w:spacing w:after="0"/>
            </w:pPr>
            <w:r>
              <w:rPr>
                <w:b/>
                <w:color w:val="B33B0C"/>
                <w:sz w:val="20"/>
              </w:rPr>
              <w:t>ПЕРСПЕКТИВНО ПРИ УСЛОВИЯХ. Для малого бизнеса подписка полезна не как замена любой разовой продаже, а как инструмент там, где уже существует повторяемая потребность. Лучший первый шаг — не автосписание, а ограниченный paid-пилот, cohort retention и проверка capacity.</w:t>
            </w:r>
          </w:p>
        </w:tc>
      </w:tr>
    </w:tbl>
    <w:p/>
    <w:p>
      <w:pPr>
        <w:pStyle w:val="Heading1"/>
      </w:pPr>
      <w:r>
        <w:t>21. Источники</w:t>
      </w:r>
    </w:p>
    <w:p>
      <w:r>
        <w:rPr>
          <w:b/>
        </w:rPr>
        <w:t xml:space="preserve">ГК РФ, ст. 429.4 — </w:t>
      </w:r>
      <w:r>
        <w:t>https://www.consultant.ru/document/cons_doc_LAW_5142/b249909d7a07e016e688ee12687c85877017b515/</w:t>
      </w:r>
      <w:r>
        <w:rPr>
          <w:color w:val="6E6E73"/>
        </w:rPr>
        <w:t xml:space="preserve"> — абонентский договор</w:t>
      </w:r>
    </w:p>
    <w:p>
      <w:r>
        <w:rPr>
          <w:b/>
        </w:rPr>
        <w:t xml:space="preserve">ГК РФ, ст. 782 — </w:t>
      </w:r>
      <w:r>
        <w:t>https://www.consultant.ru/document/cons_doc_LAW_9027/e21d6a868cf614117afa2f93877215e487cd4aee/</w:t>
      </w:r>
      <w:r>
        <w:rPr>
          <w:color w:val="6E6E73"/>
        </w:rPr>
        <w:t xml:space="preserve"> — отказ от услуг</w:t>
      </w:r>
    </w:p>
    <w:p>
      <w:r>
        <w:rPr>
          <w:b/>
        </w:rPr>
        <w:t xml:space="preserve">Федеральный закон №376-ФЗ — </w:t>
      </w:r>
      <w:r>
        <w:t>https://publication.pravo.gov.ru/document/0001202510150009</w:t>
      </w:r>
      <w:r>
        <w:rPr>
          <w:color w:val="6E6E73"/>
        </w:rPr>
        <w:t xml:space="preserve"> — изменения по платёжным данным</w:t>
      </w:r>
    </w:p>
    <w:p>
      <w:r>
        <w:rPr>
          <w:b/>
        </w:rPr>
        <w:t xml:space="preserve">Роспотребнадзор, 02.03.2026 — </w:t>
      </w:r>
      <w:r>
        <w:t>https://zpp.rospotrebnadzor.ru/news/federal/572344</w:t>
      </w:r>
      <w:r>
        <w:rPr>
          <w:color w:val="6E6E73"/>
        </w:rPr>
        <w:t xml:space="preserve"> — периодические списания после отказа</w:t>
      </w:r>
    </w:p>
    <w:p>
      <w:r>
        <w:rPr>
          <w:b/>
        </w:rPr>
        <w:t xml:space="preserve">ФНС — НДС при УСН — </w:t>
      </w:r>
      <w:r>
        <w:t>https://www.nalog.gov.ru/rn77/taxation/taxes/nds_usn/</w:t>
      </w:r>
      <w:r>
        <w:rPr>
          <w:color w:val="6E6E73"/>
        </w:rPr>
        <w:t xml:space="preserve"> — 2026</w:t>
      </w:r>
    </w:p>
    <w:p>
      <w:r>
        <w:rPr>
          <w:b/>
        </w:rPr>
        <w:t xml:space="preserve">ФНС — кассовый метод — </w:t>
      </w:r>
      <w:r>
        <w:t>https://www.nalog.gov.ru/rn39/ifns/imns39_02/info/16610029/</w:t>
      </w:r>
      <w:r>
        <w:rPr>
          <w:color w:val="6E6E73"/>
        </w:rPr>
        <w:t xml:space="preserve"> — предоплата и дата дохода</w:t>
      </w:r>
    </w:p>
    <w:p>
      <w:r>
        <w:rPr>
          <w:b/>
        </w:rPr>
        <w:t xml:space="preserve">Frank RG — Сервисы подписок в России 2025 — </w:t>
      </w:r>
      <w:r>
        <w:t>https://frankrg.com/research/servisy-podpisok-v-rossii-2025</w:t>
      </w:r>
    </w:p>
    <w:p>
      <w:r>
        <w:rPr>
          <w:b/>
        </w:rPr>
        <w:t xml:space="preserve">Mindbox / X5 Group — </w:t>
      </w:r>
      <w:r>
        <w:t>https://mindbox.ru/journal/education/biznes-model-po-podpiske/</w:t>
      </w:r>
      <w:r>
        <w:rPr>
          <w:color w:val="6E6E73"/>
        </w:rPr>
        <w:t xml:space="preserve"> — метрики и типы подписки</w:t>
      </w:r>
    </w:p>
    <w:sectPr w:rsidR="00FC693F" w:rsidRPr="0006063C" w:rsidSect="00034616">
      <w:pgSz w:w="12240" w:h="15840"/>
      <w:pgMar w:top="879" w:right="935" w:bottom="879"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w:color w:val="14141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w:hAnsi="Noto Sans" w:eastAsia="Noto Sans"/>
      <w:b/>
      <w:bCs/>
      <w:color w:val="141414"/>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w:hAnsi="Noto Sans" w:eastAsia="Noto Sans"/>
      <w:b/>
      <w:bCs/>
      <w:color w:val="141414"/>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w:hAnsi="Noto Sans" w:eastAsia="Noto Sans"/>
      <w:b/>
      <w:bCs/>
      <w:color w:val="14141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w:b/>
      <w:color w:val="141414"/>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