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FF5B18"/>
          <w:sz w:val="21"/>
        </w:rPr>
        <w:t>БИЗНЕС ПОД МИКРОСКОПОМ</w:t>
      </w:r>
    </w:p>
    <w:p>
      <w:pPr>
        <w:pStyle w:val="Title"/>
        <w:spacing w:after="40"/>
      </w:pPr>
      <w:r>
        <w:t>90 ДНЕЙ: КАК ПЕРЕВЕСТИ ЧАСТЬ РАЗОВЫХ КЛИЕНТОВ В АБОНЕМЕНТ</w:t>
      </w:r>
    </w:p>
    <w:p>
      <w:pPr>
        <w:spacing w:after="200"/>
      </w:pPr>
      <w:r>
        <w:rPr>
          <w:i/>
          <w:color w:val="6E6E73"/>
          <w:sz w:val="19"/>
        </w:rPr>
        <w:t>Теоретический сценарий BASE · не обещание результата</w:t>
      </w:r>
    </w:p>
    <w:p>
      <w:pPr>
        <w:pStyle w:val="Heading1"/>
      </w:pPr>
      <w:r>
        <w:t>1. Исходная компания</w:t>
      </w:r>
    </w:p>
    <w:p>
      <w:r>
        <w:t>Условный сервисный бизнес уже имеет разовые продажи и базу повторных клиентов. Цель — не отменить разовую модель, а выделить один сегмент с регулярной потребностью и проверить recurring-механику на ограниченной группе.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BASE-ввод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Значение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Стартовые активные подписчики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60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Новая подписка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1 990 ₽/мес.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Новые paid / мес.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20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Monthly churn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10%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CAC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2 500 ₽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Usage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65%</w:t>
            </w:r>
          </w:p>
        </w:tc>
      </w:tr>
      <w:tr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Capacity</w:t>
            </w:r>
          </w:p>
        </w:tc>
        <w:tc>
          <w:tcPr>
            <w:tcW w:type="dxa" w:w="5185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160 исполнений/мес.</w:t>
            </w:r>
          </w:p>
        </w:tc>
      </w:tr>
    </w:tbl>
    <w:p/>
    <w:p>
      <w:pPr>
        <w:pStyle w:val="Heading1"/>
      </w:pPr>
      <w:r>
        <w:t>2. Дни 1–15: доказать cadence</w:t>
      </w:r>
    </w:p>
    <w:p>
      <w:pPr>
        <w:pStyle w:val="ListNumber"/>
        <w:spacing w:after="50"/>
      </w:pPr>
      <w:r>
        <w:t>Выгрузить клиентов за 12 месяцев и посчитать интервалы между повторными покупками.</w:t>
      </w:r>
    </w:p>
    <w:p>
      <w:pPr>
        <w:pStyle w:val="ListNumber"/>
        <w:spacing w:after="50"/>
      </w:pPr>
      <w:r>
        <w:t>Выделить сегмент с естественным повтором 30–90 дней.</w:t>
      </w:r>
    </w:p>
    <w:p>
      <w:pPr>
        <w:pStyle w:val="ListNumber"/>
        <w:spacing w:after="50"/>
      </w:pPr>
      <w:r>
        <w:t>Провести 20 интервью: что заставляет возвращаться и что мешает.</w:t>
      </w:r>
    </w:p>
    <w:p>
      <w:pPr>
        <w:pStyle w:val="ListNumber"/>
        <w:spacing w:after="50"/>
      </w:pPr>
      <w:r>
        <w:t>Не спрашивать «купили бы подписку?». Проверять существующее поведение и бюджет.</w:t>
      </w:r>
    </w:p>
    <w:p>
      <w:pPr>
        <w:pStyle w:val="ListNumber"/>
        <w:spacing w:after="50"/>
      </w:pPr>
      <w:r>
        <w:t>Выбрать одну механику: пакет, subscription, membership или retainer.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FF0E8"/>
            <w:tcBorders>
              <w:top w:val="single" w:sz="5" w:color="F3B798"/>
              <w:left w:val="single" w:sz="5" w:color="F3B798"/>
              <w:bottom w:val="single" w:sz="5" w:color="F3B798"/>
              <w:right w:val="single" w:sz="5" w:color="F3B798"/>
              <w:insideH w:val="single" w:sz="5" w:color="F3B798"/>
              <w:insideV w:val="single" w:sz="5" w:color="F3B798"/>
            </w:tcBorders>
          </w:tcPr>
          <w:p>
            <w:pPr>
              <w:spacing w:after="0"/>
            </w:pPr>
            <w:r>
              <w:rPr>
                <w:b/>
                <w:color w:val="B33B0C"/>
                <w:sz w:val="20"/>
              </w:rPr>
              <w:t>Gate 1: если регулярная задача есть менее чем у ~25% целевого сегмента, не форсировать месячную подписку.</w:t>
            </w:r>
          </w:p>
        </w:tc>
      </w:tr>
    </w:tbl>
    <w:p/>
    <w:p>
      <w:pPr>
        <w:pStyle w:val="Heading1"/>
      </w:pPr>
      <w:r>
        <w:t>3. Дни 16–30: собрать paid offer</w:t>
      </w:r>
    </w:p>
    <w:p>
      <w:pPr>
        <w:pStyle w:val="ListBullet"/>
        <w:spacing w:after="50"/>
      </w:pPr>
      <w:r>
        <w:t>Один основной тариф, максимум один апгрейд.</w:t>
      </w:r>
    </w:p>
    <w:p>
      <w:pPr>
        <w:pStyle w:val="ListBullet"/>
        <w:spacing w:after="50"/>
      </w:pPr>
      <w:r>
        <w:t>Фиксированный включённый объём или privileges.</w:t>
      </w:r>
    </w:p>
    <w:p>
      <w:pPr>
        <w:pStyle w:val="ListBullet"/>
        <w:spacing w:after="50"/>
      </w:pPr>
      <w:r>
        <w:t>Нет безлимита на старте.</w:t>
      </w:r>
    </w:p>
    <w:p>
      <w:pPr>
        <w:pStyle w:val="ListBullet"/>
        <w:spacing w:after="50"/>
      </w:pPr>
      <w:r>
        <w:t>Пауза и отмена описаны до продажи.</w:t>
      </w:r>
    </w:p>
    <w:p>
      <w:pPr>
        <w:pStyle w:val="ListBullet"/>
        <w:spacing w:after="50"/>
      </w:pPr>
      <w:r>
        <w:t>20–30 мест — искусственный лимит только потому, что capacity ещё не проверена.</w:t>
      </w:r>
    </w:p>
    <w:p>
      <w:r>
        <w:t>Цена в BASE 1 990 ₽ — учебный input. Перед продажей она заменяется в Excel на цену, полученную из своей себестоимости и willingness to pay.</w:t>
      </w:r>
    </w:p>
    <w:p>
      <w:pPr>
        <w:pStyle w:val="Heading1"/>
      </w:pPr>
      <w:r>
        <w:t>4. Месяц 2: измерить поведение, а не восторг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Неделя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Главный вопрос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Решение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5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Сколько реально пользуются?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Сверить usage и cost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6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Есть ли очередь/перегрузка?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Проверить capacity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7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Хотят ли клиенты остаться без новой скидки?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Retention intent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8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Почему отменяют?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Собрать churn reasons</w:t>
            </w:r>
          </w:p>
        </w:tc>
      </w:tr>
    </w:tbl>
    <w:p/>
    <w:p>
      <w:pPr>
        <w:pStyle w:val="Heading1"/>
      </w:pPr>
      <w:r>
        <w:t>5. Месяц 3: первое реальное продление</w:t>
      </w:r>
    </w:p>
    <w:p>
      <w:r>
        <w:t>Ключевой момент — не первый платёж, а добровольное продолжение после того, как клиент уже понял продукт. До этого нельзя считать модель доказанной.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Gate M3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PASS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Что делать при FAIL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Paid conversion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Есть платные клиенты из тёплой базы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Пересобрать value proposition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Churn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Не выходит за стресс-зону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Сегментировать причины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LTV/CAC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Есть запас к CAC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Остановить paid acquisition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Payback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Вписывается в cash runway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Снижать CAC/повышать contribution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Capacity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&lt;85% в BASE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Ограничить продажи / расширить ресурс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Cancellation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Работает без конфликтов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Исправить процесс до роста</w:t>
            </w:r>
          </w:p>
        </w:tc>
      </w:tr>
    </w:tbl>
    <w:p/>
    <w:p>
      <w:pPr>
        <w:pStyle w:val="Heading1"/>
      </w:pPr>
      <w:r>
        <w:t>6. Что BASE Excel показывает к M1 / M6 / M12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Cash владельца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141414"/>
          </w:tcPr>
          <w:p>
            <w:pPr>
              <w:spacing w:after="30"/>
            </w:pPr>
            <w:r>
              <w:rPr>
                <w:rFonts w:ascii="Noto Sans" w:hAnsi="Noto Sans"/>
                <w:b/>
                <w:color w:val="FFFFFF"/>
                <w:sz w:val="16"/>
              </w:rPr>
              <w:t>Интерпретация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M1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≈ –36,9 тыс. ₽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Разгон ещё не окупил CAC и fixed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M6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≈ +14,4 тыс. ₽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AF8F4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Модель вышла в плюс при сохранении вводов</w:t>
            </w:r>
          </w:p>
        </w:tc>
      </w:tr>
      <w:tr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M12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≈ +49,1 тыс. ₽</w:t>
            </w:r>
          </w:p>
        </w:tc>
        <w:tc>
          <w:tcPr>
            <w:tcW w:type="dxa" w:w="3457"/>
            <w:tcBorders>
              <w:top w:val="single" w:sz="5" w:color="E4DED5"/>
              <w:left w:val="single" w:sz="5" w:color="E4DED5"/>
              <w:bottom w:val="single" w:sz="5" w:color="E4DED5"/>
              <w:right w:val="single" w:sz="5" w:color="E4DED5"/>
              <w:insideH w:val="single" w:sz="5" w:color="E4DED5"/>
              <w:insideV w:val="single" w:sz="5" w:color="E4DED5"/>
            </w:tcBorders>
            <w:vAlign w:val="center"/>
            <w:shd w:fill="FFFFFF"/>
          </w:tcPr>
          <w:p>
            <w:pPr>
              <w:spacing w:after="30"/>
            </w:pPr>
            <w:r>
              <w:rPr>
                <w:rFonts w:ascii="Noto Sans" w:hAnsi="Noto Sans"/>
                <w:color w:val="141414"/>
                <w:sz w:val="16"/>
              </w:rPr>
              <w:t>Повторная база создаёт вклад, capacity ещё не перегружена</w:t>
            </w:r>
          </w:p>
        </w:tc>
      </w:tr>
    </w:tbl>
    <w:p/>
    <w:p>
      <w:r>
        <w:t>Это специально не «красивый» сценарий. Он показывает, почему предпринимателю нельзя финансировать рост подписки только надеждой на будущий MRR.</w:t>
      </w:r>
    </w:p>
    <w:p>
      <w:pPr>
        <w:pStyle w:val="Heading1"/>
      </w:pPr>
      <w:r>
        <w:t>7. Когда расширять маркетинг</w:t>
      </w:r>
    </w:p>
    <w:p>
      <w:pPr>
        <w:pStyle w:val="ListBullet"/>
        <w:spacing w:after="50"/>
      </w:pPr>
      <w:r>
        <w:t>Есть минимум две когорты с измеренным удержанием.</w:t>
      </w:r>
    </w:p>
    <w:p>
      <w:pPr>
        <w:pStyle w:val="ListBullet"/>
        <w:spacing w:after="50"/>
      </w:pPr>
      <w:r>
        <w:t>Cancellation причины стабильны и понятны.</w:t>
      </w:r>
    </w:p>
    <w:p>
      <w:pPr>
        <w:pStyle w:val="ListBullet"/>
        <w:spacing w:after="50"/>
      </w:pPr>
      <w:r>
        <w:t>LTV/CAC проходит ваш внутренний порог.</w:t>
      </w:r>
    </w:p>
    <w:p>
      <w:pPr>
        <w:pStyle w:val="ListBullet"/>
        <w:spacing w:after="50"/>
      </w:pPr>
      <w:r>
        <w:t>Payback укладывается в runway.</w:t>
      </w:r>
    </w:p>
    <w:p>
      <w:pPr>
        <w:pStyle w:val="ListBullet"/>
        <w:spacing w:after="50"/>
      </w:pPr>
      <w:r>
        <w:t>Capacity в сильном сценарии не уходит в критическую зону.</w:t>
      </w:r>
    </w:p>
    <w:p>
      <w:pPr>
        <w:pStyle w:val="Heading1"/>
      </w:pPr>
      <w:r>
        <w:t>8. Когда НЕ расширять</w:t>
      </w:r>
    </w:p>
    <w:p>
      <w:pPr>
        <w:pStyle w:val="ListBullet"/>
        <w:spacing w:after="50"/>
      </w:pPr>
      <w:r>
        <w:t>Основной драйвер продаж — временная скидка.</w:t>
      </w:r>
    </w:p>
    <w:p>
      <w:pPr>
        <w:pStyle w:val="ListBullet"/>
        <w:spacing w:after="50"/>
      </w:pPr>
      <w:r>
        <w:t>Клиент не понимает ценность без максимального usage.</w:t>
      </w:r>
    </w:p>
    <w:p>
      <w:pPr>
        <w:pStyle w:val="ListBullet"/>
        <w:spacing w:after="50"/>
      </w:pPr>
      <w:r>
        <w:t>Жалобы растут быстрее подписчиков.</w:t>
      </w:r>
    </w:p>
    <w:p>
      <w:pPr>
        <w:pStyle w:val="ListBullet"/>
        <w:spacing w:after="50"/>
      </w:pPr>
      <w:r>
        <w:t>Отмена вызывает ручные конфликты.</w:t>
      </w:r>
    </w:p>
    <w:p>
      <w:pPr>
        <w:pStyle w:val="ListBullet"/>
        <w:spacing w:after="50"/>
      </w:pPr>
      <w:r>
        <w:t>Маркетинг просит «ещё трафика», а cohort retention не построен.</w:t>
      </w:r>
    </w:p>
    <w:p>
      <w:pPr>
        <w:pStyle w:val="Heading1"/>
      </w:pPr>
      <w:r>
        <w:t>9. Финальное решение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FF0E8"/>
            <w:tcBorders>
              <w:top w:val="single" w:sz="5" w:color="F3B798"/>
              <w:left w:val="single" w:sz="5" w:color="F3B798"/>
              <w:bottom w:val="single" w:sz="5" w:color="F3B798"/>
              <w:right w:val="single" w:sz="5" w:color="F3B798"/>
              <w:insideH w:val="single" w:sz="5" w:color="F3B798"/>
              <w:insideV w:val="single" w:sz="5" w:color="F3B798"/>
            </w:tcBorders>
          </w:tcPr>
          <w:p>
            <w:pPr>
              <w:spacing w:after="0"/>
            </w:pPr>
            <w:r>
              <w:rPr>
                <w:b/>
                <w:color w:val="B33B0C"/>
                <w:sz w:val="20"/>
              </w:rPr>
              <w:t>Через 90 дней выбираем один из трёх исходов: SCALE — если cohort economics и capacity подтверждены; ITERATE — если спрос есть, но тариф/usage/churn требуют доработки; STOP — если регулярной ценности нет или CAC не окупается.</w:t>
            </w:r>
          </w:p>
        </w:tc>
      </w:tr>
    </w:tbl>
    <w:p/>
    <w:sectPr w:rsidR="00FC693F" w:rsidRPr="0006063C" w:rsidSect="00034616"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" w:hAnsi="Noto Sans" w:eastAsia="Noto Sans"/>
      <w:color w:val="14141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" w:hAnsi="Noto Sans" w:eastAsia="Noto Sans"/>
      <w:b/>
      <w:bCs/>
      <w:color w:val="14141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" w:hAnsi="Noto Sans" w:eastAsia="Noto Sans"/>
      <w:b/>
      <w:bCs/>
      <w:color w:val="141414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" w:hAnsi="Noto Sans" w:eastAsia="Noto Sans"/>
      <w:b/>
      <w:bCs/>
      <w:color w:val="141414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"/>
      <w:b/>
      <w:color w:val="14141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