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Аудит клиентского пути как B2B-услуга — 2026</w:t>
      </w:r>
    </w:p>
    <w:p>
      <w:r>
        <w:rPr>
          <w:b/>
          <w:color w:val="5B6573"/>
          <w:sz w:val="23"/>
        </w:rPr>
        <w:t>Профессиональное досье бизнес-модели: что продаём, как доказываем ценность, где экономика, как проверять спрос и когда модель перестаёт быть разовой подработкой.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088"/>
        <w:gridCol w:w="8352"/>
      </w:tblGrid>
      <w:tr>
        <w:tc>
          <w:tcPr>
            <w:tcW w:type="dxa" w:w="5112"/>
            <w:shd w:fill="C7A45D"/>
            <w:vAlign w:val="center"/>
          </w:tcPr>
          <w:p>
            <w:r>
              <w:rPr>
                <w:rFonts w:ascii="Arial" w:hAnsi="Arial"/>
                <w:b/>
                <w:sz w:val="20"/>
              </w:rPr>
              <w:t>ВЕРДИКТ</w:t>
            </w:r>
          </w:p>
        </w:tc>
        <w:tc>
          <w:tcPr>
            <w:tcW w:type="dxa" w:w="5112"/>
            <w:shd w:fill="FFF3CD"/>
            <w:vAlign w:val="center"/>
          </w:tcPr>
          <w:p>
            <w:r>
              <w:rPr>
                <w:rFonts w:ascii="Arial" w:hAnsi="Arial"/>
                <w:b/>
                <w:sz w:val="20"/>
              </w:rPr>
              <w:t>TEST — экономика допускает тест, устойчивость не доказана до платного проекта и повторного заказа</w:t>
            </w:r>
          </w:p>
        </w:tc>
      </w:tr>
    </w:tbl>
    <w:p/>
    <w:p>
      <w:pPr>
        <w:pStyle w:val="Heading1"/>
      </w:pPr>
      <w:r>
        <w:t>1. Как пользоваться комплектом</w:t>
      </w:r>
    </w:p>
    <w:p>
      <w:pPr>
        <w:pStyle w:val="ListNumber"/>
      </w:pPr>
      <w:r>
        <w:t>Сначала прочитайте разделы 2–8 и выберите одну отрасль, где клиент проходит несколько точек контакта до покупки.</w:t>
      </w:r>
    </w:p>
    <w:p>
      <w:pPr>
        <w:pStyle w:val="ListNumber"/>
      </w:pPr>
      <w:r>
        <w:t>Затем замените синие вводные в finansovaya-model-audita-klientskogo-puti-2026.xlsx на свои часы, цену, расходы, налог и рабочий лимит.</w:t>
      </w:r>
    </w:p>
    <w:p>
      <w:pPr>
        <w:pStyle w:val="ListNumber"/>
      </w:pPr>
      <w:r>
        <w:t>Перед первым проектом заполните due-diligence-i-matrica-vybora-audita-klientskogo-puti.docx: он отсечёт клиентов и схемы, где аудит трудно доказать или юридически рискованно проводить.</w:t>
      </w:r>
    </w:p>
    <w:p>
      <w:pPr>
        <w:pStyle w:val="ListNumber"/>
      </w:pPr>
      <w:r>
        <w:t>Соберите проверку по toolkit-audita-klientskogo-puti.docx и используйте единый формат отчёта «Факт → риск → приоритет → изменение → перепроверка».</w:t>
      </w:r>
    </w:p>
    <w:p>
      <w:pPr>
        <w:pStyle w:val="ListNumber"/>
      </w:pPr>
      <w:r>
        <w:t>Проведите gotovyy-scenariy-30-dnevnyy-test-audita-klientskogo-puti.docx и только после первого платного проекта решайте, стоит ли масштабировать услугу.</w:t>
      </w:r>
    </w:p>
    <w:p>
      <w:pPr>
        <w:pStyle w:val="Heading1"/>
      </w:pPr>
      <w:r>
        <w:t>2. Резюме и главный вывод</w:t>
      </w:r>
    </w:p>
    <w:p>
      <w:r>
        <w:t>Модель — независимый аудит клиентского пути малого и среднего бизнеса. Исполнитель воспроизводит типичный путь потенциального клиента по заранее согласованному сценарию, фиксирует наблюдаемые факты и показывает заказчику точки трения: задержку ответа, противоречивые условия, отсутствие следующего шага, невыполненное обещание, сложность записи или покупки.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3CD"/>
          </w:tcPr>
          <w:p>
            <w:r>
              <w:rPr>
                <w:b/>
                <w:color w:val="10243E"/>
              </w:rPr>
              <w:t>Главная граница доказательности</w:t>
              <w:br/>
            </w:r>
            <w:r>
              <w:t>Внешний аудитор без CRM, фактической конверсии, среднего чека и маржинальности заказчика не может честно писать «эта ошибка стоит вам 300 000 ₽ в месяц». Он может доказать сам факт сбоя и объяснить риск. Финансовую потерю можно оценивать только вместе с данными клиента и согласованной методикой.</w:t>
            </w:r>
          </w:p>
        </w:tc>
      </w:tr>
    </w:tbl>
    <w:p/>
    <w:p>
      <w:pPr>
        <w:pStyle w:val="Heading1"/>
      </w:pPr>
      <w:r>
        <w:t>3. Почему модель существует не только на бумаге</w:t>
      </w:r>
    </w:p>
    <w:p>
      <w:r>
        <w:t>Актуальные страницы НАФИ описывают Mystery Shopping как метод оценки качества обслуживания и соблюдения стандартов, основанный на заранее разработанной легенде, чек-листе и фиксации фактов. В актуальной презентации НАФИ 2026 Mystery Shopping входит в перечень методов исследований. Отдельная методика «Сопровождаемые покупки» рассматривает весь путь пользователя в естественной среде и поиск барьеров. Mediascope также описывает проверки по разработанным сценариям и использование результатов для управленческих решений.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DECEC"/>
          </w:tcPr>
          <w:p>
            <w:r>
              <w:rPr>
                <w:b/>
                <w:color w:val="10243E"/>
              </w:rPr>
              <w:t>Что не подтверждено источниками</w:t>
              <w:br/>
            </w:r>
            <w:r>
              <w:t>Публичной независимой статистики по средней цене такого аудита для маленького исполнителя, средней марже или типовой конверсии холодных продаж мы не используем. Все финансовые значения ниже — сценарий для проверки, а не «рынок».</w:t>
            </w:r>
          </w:p>
        </w:tc>
      </w:tr>
    </w:tbl>
    <w:p/>
    <w:p>
      <w:pPr>
        <w:pStyle w:val="Heading1"/>
      </w:pPr>
      <w:r>
        <w:t>4. За что платит клиент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168"/>
            <w:shd w:fill="10243E"/>
          </w:tcPr>
          <w:p>
            <w:r>
              <w:rPr>
                <w:b/>
                <w:color w:val="FFFFFF"/>
                <w:sz w:val="18"/>
              </w:rPr>
              <w:t>Задача владельца</w:t>
            </w:r>
          </w:p>
        </w:tc>
        <w:tc>
          <w:tcPr>
            <w:tcW w:type="dxa" w:w="3600"/>
            <w:shd w:fill="10243E"/>
          </w:tcPr>
          <w:p>
            <w:r>
              <w:rPr>
                <w:b/>
                <w:color w:val="FFFFFF"/>
                <w:sz w:val="18"/>
              </w:rPr>
              <w:t>Что проверяем</w:t>
            </w:r>
          </w:p>
        </w:tc>
        <w:tc>
          <w:tcPr>
            <w:tcW w:type="dxa" w:w="3744"/>
            <w:shd w:fill="10243E"/>
          </w:tcPr>
          <w:p>
            <w:r>
              <w:rPr>
                <w:b/>
                <w:color w:val="FFFFFF"/>
                <w:sz w:val="18"/>
              </w:rPr>
              <w:t>Что получает клиент</w:t>
            </w:r>
          </w:p>
        </w:tc>
      </w:tr>
      <w:tr>
        <w:tc>
          <w:tcPr>
            <w:tcW w:type="dxa" w:w="3168"/>
            <w:vAlign w:val="top"/>
            <w:shd w:fill="F7F8FA"/>
          </w:tcPr>
          <w:p>
            <w:r>
              <w:rPr>
                <w:sz w:val="18"/>
              </w:rPr>
              <w:t>Не терять заявки</w:t>
            </w:r>
          </w:p>
        </w:tc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Форма, телефон, мессенджер, скорость ответа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Таймстемпы, доля пропущенных/задержанных контактов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8"/>
              </w:rPr>
              <w:t>Не путать клиента</w:t>
            </w:r>
          </w:p>
        </w:tc>
        <w:tc>
          <w:tcPr>
            <w:tcW w:type="dxa" w:w="3600"/>
            <w:vAlign w:val="top"/>
          </w:tcPr>
          <w:p>
            <w:r>
              <w:rPr>
                <w:sz w:val="18"/>
              </w:rPr>
              <w:t>Совпадение цены, условий, сроков между каналами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Список противоречий и критичность</w:t>
            </w:r>
          </w:p>
        </w:tc>
      </w:tr>
      <w:tr>
        <w:tc>
          <w:tcPr>
            <w:tcW w:type="dxa" w:w="3168"/>
            <w:vAlign w:val="top"/>
            <w:shd w:fill="F7F8FA"/>
          </w:tcPr>
          <w:p>
            <w:r>
              <w:rPr>
                <w:sz w:val="18"/>
              </w:rPr>
              <w:t>Доводить до следующего шага</w:t>
            </w:r>
          </w:p>
        </w:tc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Запись, расчёт, визит, бронь, заказ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Факт: предложен следующий шаг или нет</w:t>
            </w:r>
          </w:p>
        </w:tc>
      </w:tr>
      <w:tr>
        <w:tc>
          <w:tcPr>
            <w:tcW w:type="dxa" w:w="3168"/>
            <w:vAlign w:val="top"/>
          </w:tcPr>
          <w:p>
            <w:r>
              <w:rPr>
                <w:sz w:val="18"/>
              </w:rPr>
              <w:t>Исполнять обещания</w:t>
            </w:r>
          </w:p>
        </w:tc>
        <w:tc>
          <w:tcPr>
            <w:tcW w:type="dxa" w:w="3600"/>
            <w:vAlign w:val="top"/>
          </w:tcPr>
          <w:p>
            <w:r>
              <w:rPr>
                <w:sz w:val="18"/>
              </w:rPr>
              <w:t>Перезвон, сообщение, смета, бронь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Факт выполнения и срок</w:t>
            </w:r>
          </w:p>
        </w:tc>
      </w:tr>
      <w:tr>
        <w:tc>
          <w:tcPr>
            <w:tcW w:type="dxa" w:w="3168"/>
            <w:vAlign w:val="top"/>
            <w:shd w:fill="F7F8FA"/>
          </w:tcPr>
          <w:p>
            <w:r>
              <w:rPr>
                <w:sz w:val="18"/>
              </w:rPr>
              <w:t>Контролировать изменения</w:t>
            </w:r>
          </w:p>
        </w:tc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Повторная проверка тем же сценарием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Сравнение до/после</w:t>
            </w:r>
          </w:p>
        </w:tc>
      </w:tr>
    </w:tbl>
    <w:p/>
    <w:p>
      <w:pPr>
        <w:pStyle w:val="Heading1"/>
      </w:pPr>
      <w:r>
        <w:t>5. Кому услуга подходит лучше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736"/>
            <w:shd w:fill="10243E"/>
          </w:tcPr>
          <w:p>
            <w:r>
              <w:rPr>
                <w:b/>
                <w:color w:val="FFFFFF"/>
                <w:sz w:val="18"/>
              </w:rPr>
              <w:t>Сегмент</w:t>
            </w:r>
          </w:p>
        </w:tc>
        <w:tc>
          <w:tcPr>
            <w:tcW w:type="dxa" w:w="4032"/>
            <w:shd w:fill="10243E"/>
          </w:tcPr>
          <w:p>
            <w:r>
              <w:rPr>
                <w:b/>
                <w:color w:val="FFFFFF"/>
                <w:sz w:val="18"/>
              </w:rPr>
              <w:t>Почему подходит</w:t>
            </w:r>
          </w:p>
        </w:tc>
        <w:tc>
          <w:tcPr>
            <w:tcW w:type="dxa" w:w="3744"/>
            <w:shd w:fill="10243E"/>
          </w:tcPr>
          <w:p>
            <w:r>
              <w:rPr>
                <w:b/>
                <w:color w:val="FFFFFF"/>
                <w:sz w:val="18"/>
              </w:rPr>
              <w:t>Что может помешать</w:t>
            </w:r>
          </w:p>
        </w:tc>
      </w:tr>
      <w:tr>
        <w:tc>
          <w:tcPr>
            <w:tcW w:type="dxa" w:w="2736"/>
            <w:vAlign w:val="top"/>
            <w:shd w:fill="F7F8FA"/>
          </w:tcPr>
          <w:p>
            <w:r>
              <w:rPr>
                <w:sz w:val="18"/>
              </w:rPr>
              <w:t>Автосервисы / детейлинг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Много консультаций, запись, цена и сроки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Сложные технические кейсы требуют аккуратной легенды</w:t>
            </w:r>
          </w:p>
        </w:tc>
      </w:tr>
      <w:tr>
        <w:tc>
          <w:tcPr>
            <w:tcW w:type="dxa" w:w="2736"/>
            <w:vAlign w:val="top"/>
          </w:tcPr>
          <w:p>
            <w:r>
              <w:rPr>
                <w:sz w:val="18"/>
              </w:rPr>
              <w:t>Салоны / фитнес / обучение</w:t>
            </w:r>
          </w:p>
        </w:tc>
        <w:tc>
          <w:tcPr>
            <w:tcW w:type="dxa" w:w="4032"/>
            <w:vAlign w:val="top"/>
          </w:tcPr>
          <w:p>
            <w:r>
              <w:rPr>
                <w:sz w:val="18"/>
              </w:rPr>
              <w:t>Много сообщений, запись, follow-up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Высокая сезонность и скидочные сценарии</w:t>
            </w:r>
          </w:p>
        </w:tc>
      </w:tr>
      <w:tr>
        <w:tc>
          <w:tcPr>
            <w:tcW w:type="dxa" w:w="2736"/>
            <w:vAlign w:val="top"/>
            <w:shd w:fill="F7F8FA"/>
          </w:tcPr>
          <w:p>
            <w:r>
              <w:rPr>
                <w:sz w:val="18"/>
              </w:rPr>
              <w:t>Мебель / ремонт / услуги на заказ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Консультационная продажа и расчёт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Длинный цикл, нужен более длинный сценарий</w:t>
            </w:r>
          </w:p>
        </w:tc>
      </w:tr>
      <w:tr>
        <w:tc>
          <w:tcPr>
            <w:tcW w:type="dxa" w:w="2736"/>
            <w:vAlign w:val="top"/>
          </w:tcPr>
          <w:p>
            <w:r>
              <w:rPr>
                <w:sz w:val="18"/>
              </w:rPr>
              <w:t>Локальные сети</w:t>
            </w:r>
          </w:p>
        </w:tc>
        <w:tc>
          <w:tcPr>
            <w:tcW w:type="dxa" w:w="4032"/>
            <w:vAlign w:val="top"/>
          </w:tcPr>
          <w:p>
            <w:r>
              <w:rPr>
                <w:sz w:val="18"/>
              </w:rPr>
              <w:t>Можно сравнивать филиалы одной методикой</w:t>
            </w:r>
          </w:p>
        </w:tc>
        <w:tc>
          <w:tcPr>
            <w:tcW w:type="dxa" w:w="3744"/>
            <w:vAlign w:val="top"/>
          </w:tcPr>
          <w:p>
            <w:r>
              <w:rPr>
                <w:sz w:val="18"/>
              </w:rPr>
              <w:t>Больше координации и контроля проверяющих</w:t>
            </w:r>
          </w:p>
        </w:tc>
      </w:tr>
      <w:tr>
        <w:tc>
          <w:tcPr>
            <w:tcW w:type="dxa" w:w="2736"/>
            <w:vAlign w:val="top"/>
            <w:shd w:fill="F7F8FA"/>
          </w:tcPr>
          <w:p>
            <w:r>
              <w:rPr>
                <w:sz w:val="18"/>
              </w:rPr>
              <w:t>Компании с почти автоматической покупкой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Меньше ручных точек контакта</w:t>
            </w:r>
          </w:p>
        </w:tc>
        <w:tc>
          <w:tcPr>
            <w:tcW w:type="dxa" w:w="3744"/>
            <w:vAlign w:val="top"/>
            <w:shd w:fill="F7F8FA"/>
          </w:tcPr>
          <w:p>
            <w:r>
              <w:rPr>
                <w:sz w:val="18"/>
              </w:rPr>
              <w:t>Ручной Mystery Shopping может иметь низкую ценность</w:t>
            </w:r>
          </w:p>
        </w:tc>
      </w:tr>
    </w:tbl>
    <w:p/>
    <w:p>
      <w:pPr>
        <w:pStyle w:val="Heading1"/>
      </w:pPr>
      <w:r>
        <w:t>6. Продуктовая линейка</w:t>
      </w:r>
    </w:p>
    <w:p>
      <w:pPr>
        <w:pStyle w:val="ListBullet"/>
      </w:pPr>
      <w:r>
        <w:t>Экспресс-аудит: один сценарий, 3–5 тестовых контактов, 2–3 канала, короткий отчёт и встреча с владельцем.</w:t>
      </w:r>
    </w:p>
    <w:p>
      <w:pPr>
        <w:pStyle w:val="ListBullet"/>
      </w:pPr>
      <w:r>
        <w:t>Стандартный аудит: 5–10 контактов, несколько сценариев, сравнение каналов/смен/точек, evidence register, приоритеты и повторная проверка.</w:t>
      </w:r>
    </w:p>
    <w:p>
      <w:pPr>
        <w:pStyle w:val="ListBullet"/>
      </w:pPr>
      <w:r>
        <w:t>Мониторинг: одна и та же методика раз в месяц/квартал, динамика, филиалы, контроль после внедрения изменений.</w:t>
      </w:r>
    </w:p>
    <w:p>
      <w:r>
        <w:t>Это не рыночные «стандарты пакетов», а управленческая конструкция услуги. Перед продажей каждый пакет нужно адаптировать под отрасль и доказуемые точки контакта.</w:t>
      </w:r>
    </w:p>
    <w:p>
      <w:pPr>
        <w:pStyle w:val="Heading1"/>
      </w:pPr>
      <w:r>
        <w:t>7. Операционная модель от продажи до отчёта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1728"/>
            <w:shd w:fill="10243E"/>
          </w:tcPr>
          <w:p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4608"/>
            <w:shd w:fill="10243E"/>
          </w:tcPr>
          <w:p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4320"/>
            <w:shd w:fill="10243E"/>
          </w:tcPr>
          <w:p>
            <w:r>
              <w:rPr>
                <w:b/>
                <w:color w:val="FFFFFF"/>
                <w:sz w:val="18"/>
              </w:rPr>
              <w:t>Контроль качества</w:t>
            </w:r>
          </w:p>
        </w:tc>
      </w:tr>
      <w:tr>
        <w:tc>
          <w:tcPr>
            <w:tcW w:type="dxa" w:w="1728"/>
            <w:vAlign w:val="top"/>
            <w:shd w:fill="F7F8FA"/>
          </w:tcPr>
          <w:p>
            <w:r>
              <w:rPr>
                <w:sz w:val="18"/>
              </w:rPr>
              <w:t>Discovery</w:t>
            </w:r>
          </w:p>
        </w:tc>
        <w:tc>
          <w:tcPr>
            <w:tcW w:type="dxa" w:w="4608"/>
            <w:vAlign w:val="top"/>
            <w:shd w:fill="F7F8FA"/>
          </w:tcPr>
          <w:p>
            <w:r>
              <w:rPr>
                <w:sz w:val="18"/>
              </w:rPr>
              <w:t>Цель, клиентский путь, сегмент, критические точки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Письменный scope и запреты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sz w:val="18"/>
              </w:rPr>
              <w:t>Методика</w:t>
            </w:r>
          </w:p>
        </w:tc>
        <w:tc>
          <w:tcPr>
            <w:tcW w:type="dxa" w:w="4608"/>
            <w:vAlign w:val="top"/>
          </w:tcPr>
          <w:p>
            <w:r>
              <w:rPr>
                <w:sz w:val="18"/>
              </w:rPr>
              <w:t>Легенда, сценарий, чек-лист, evidence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Только наблюдаемые критерии</w:t>
            </w:r>
          </w:p>
        </w:tc>
      </w:tr>
      <w:tr>
        <w:tc>
          <w:tcPr>
            <w:tcW w:type="dxa" w:w="1728"/>
            <w:vAlign w:val="top"/>
            <w:shd w:fill="F7F8FA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4608"/>
            <w:vAlign w:val="top"/>
            <w:shd w:fill="F7F8FA"/>
          </w:tcPr>
          <w:p>
            <w:r>
              <w:rPr>
                <w:sz w:val="18"/>
              </w:rPr>
              <w:t>Контакт как обычный потенциальный клиент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Таймстемп, номер сценария, обязательные поля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sz w:val="18"/>
              </w:rPr>
              <w:t>QA</w:t>
            </w:r>
          </w:p>
        </w:tc>
        <w:tc>
          <w:tcPr>
            <w:tcW w:type="dxa" w:w="4608"/>
            <w:vAlign w:val="top"/>
          </w:tcPr>
          <w:p>
            <w:r>
              <w:rPr>
                <w:sz w:val="18"/>
              </w:rPr>
              <w:t>Проверка полноты и отклонений от сценария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Спорные факты исключаются или помечаются</w:t>
            </w:r>
          </w:p>
        </w:tc>
      </w:tr>
      <w:tr>
        <w:tc>
          <w:tcPr>
            <w:tcW w:type="dxa" w:w="1728"/>
            <w:vAlign w:val="top"/>
            <w:shd w:fill="F7F8FA"/>
          </w:tcPr>
          <w:p>
            <w:r>
              <w:rPr>
                <w:sz w:val="18"/>
              </w:rPr>
              <w:t>Анализ</w:t>
            </w:r>
          </w:p>
        </w:tc>
        <w:tc>
          <w:tcPr>
            <w:tcW w:type="dxa" w:w="4608"/>
            <w:vAlign w:val="top"/>
            <w:shd w:fill="F7F8FA"/>
          </w:tcPr>
          <w:p>
            <w:r>
              <w:rPr>
                <w:sz w:val="18"/>
              </w:rPr>
              <w:t>Группировка проблем по критичности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Не переводить риск в рубли без данных клиента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sz w:val="18"/>
              </w:rPr>
              <w:t>Презентация</w:t>
            </w:r>
          </w:p>
        </w:tc>
        <w:tc>
          <w:tcPr>
            <w:tcW w:type="dxa" w:w="4608"/>
            <w:vAlign w:val="top"/>
          </w:tcPr>
          <w:p>
            <w:r>
              <w:rPr>
                <w:sz w:val="18"/>
              </w:rPr>
              <w:t>3–5 главных изменений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Ответственный, срок, способ перепроверки</w:t>
            </w:r>
          </w:p>
        </w:tc>
      </w:tr>
      <w:tr>
        <w:tc>
          <w:tcPr>
            <w:tcW w:type="dxa" w:w="1728"/>
            <w:vAlign w:val="top"/>
            <w:shd w:fill="F7F8FA"/>
          </w:tcPr>
          <w:p>
            <w:r>
              <w:rPr>
                <w:sz w:val="18"/>
              </w:rPr>
              <w:t>Recheck</w:t>
            </w:r>
          </w:p>
        </w:tc>
        <w:tc>
          <w:tcPr>
            <w:tcW w:type="dxa" w:w="4608"/>
            <w:vAlign w:val="top"/>
            <w:shd w:fill="F7F8FA"/>
          </w:tcPr>
          <w:p>
            <w:r>
              <w:rPr>
                <w:sz w:val="18"/>
              </w:rPr>
              <w:t>Повтор тем же сценарием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Сравнимые критерии до/после</w:t>
            </w:r>
          </w:p>
        </w:tc>
      </w:tr>
    </w:tbl>
    <w:p/>
    <w:p>
      <w:pPr>
        <w:pStyle w:val="Heading1"/>
      </w:pPr>
      <w:r>
        <w:t>8. Экономика базового сценария</w:t>
      </w:r>
    </w:p>
    <w:p>
      <w:r>
        <w:t>Финансовая модель построена как проверяемый сценарий одного исполнителя. Вводные легко меняются. База специально считает не только денежный остаток, но и стоимость времени владельца — чтобы не называть прибылью бесплатную работу.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600"/>
            <w:shd w:fill="10243E"/>
          </w:tcPr>
          <w:p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592"/>
            <w:shd w:fill="10243E"/>
          </w:tcPr>
          <w:p>
            <w:r>
              <w:rPr>
                <w:b/>
                <w:color w:val="FFFFFF"/>
                <w:sz w:val="18"/>
              </w:rPr>
              <w:t>BASE</w:t>
            </w:r>
          </w:p>
        </w:tc>
        <w:tc>
          <w:tcPr>
            <w:tcW w:type="dxa" w:w="4320"/>
            <w:shd w:fill="10243E"/>
          </w:tcPr>
          <w:p>
            <w:r>
              <w:rPr>
                <w:b/>
                <w:color w:val="FFFFFF"/>
                <w:sz w:val="18"/>
              </w:rPr>
              <w:t>Что означает</w:t>
            </w:r>
          </w:p>
        </w:tc>
      </w:tr>
      <w:tr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Цена проекта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24 000 ₽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Сценарий, не средняя по рынку</w:t>
            </w:r>
          </w:p>
        </w:tc>
      </w:tr>
      <w:tr>
        <w:tc>
          <w:tcPr>
            <w:tcW w:type="dxa" w:w="3600"/>
            <w:vAlign w:val="top"/>
          </w:tcPr>
          <w:p>
            <w:r>
              <w:rPr>
                <w:sz w:val="18"/>
              </w:rPr>
              <w:t>Проектов в месяц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После первых продаж</w:t>
            </w:r>
          </w:p>
        </w:tc>
      </w:tr>
      <w:tr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Проверок на проект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Сценарий</w:t>
            </w:r>
          </w:p>
        </w:tc>
      </w:tr>
      <w:tr>
        <w:tc>
          <w:tcPr>
            <w:tcW w:type="dxa" w:w="3600"/>
            <w:vAlign w:val="top"/>
          </w:tcPr>
          <w:p>
            <w:r>
              <w:rPr>
                <w:sz w:val="18"/>
              </w:rPr>
              <w:t>Производственные часы / проект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10,5 ч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Бриф + проверки + анализ + презентация</w:t>
            </w:r>
          </w:p>
        </w:tc>
      </w:tr>
      <w:tr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Все часы / месяц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50 ч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Включая 8 часов продаж/admin</w:t>
            </w:r>
          </w:p>
        </w:tc>
      </w:tr>
      <w:tr>
        <w:tc>
          <w:tcPr>
            <w:tcW w:type="dxa" w:w="3600"/>
            <w:vAlign w:val="top"/>
          </w:tcPr>
          <w:p>
            <w:r>
              <w:rPr>
                <w:sz w:val="18"/>
              </w:rPr>
              <w:t>Расчётная нижняя цена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≈ 19 048 ₽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При заданной стоимости времени, налоге и резерве</w:t>
            </w:r>
          </w:p>
        </w:tc>
      </w:tr>
      <w:tr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Cash operating profit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≈ 76 240 ₽/мес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До стоимости собственного времени</w:t>
            </w:r>
          </w:p>
        </w:tc>
      </w:tr>
      <w:tr>
        <w:tc>
          <w:tcPr>
            <w:tcW w:type="dxa" w:w="3600"/>
            <w:vAlign w:val="top"/>
          </w:tcPr>
          <w:p>
            <w:r>
              <w:rPr>
                <w:sz w:val="18"/>
              </w:rPr>
              <w:t>Economic profit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≈ 26 240 ₽/мес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После стоимости времени</w:t>
            </w:r>
          </w:p>
        </w:tc>
      </w:tr>
      <w:tr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Economic margin</w:t>
            </w:r>
          </w:p>
        </w:tc>
        <w:tc>
          <w:tcPr>
            <w:tcW w:type="dxa" w:w="2592"/>
            <w:vAlign w:val="top"/>
            <w:shd w:fill="F7F8FA"/>
          </w:tcPr>
          <w:p>
            <w:r>
              <w:rPr>
                <w:sz w:val="18"/>
              </w:rPr>
              <w:t>≈ 27,3%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Сценарная</w:t>
            </w:r>
          </w:p>
        </w:tc>
      </w:tr>
      <w:tr>
        <w:tc>
          <w:tcPr>
            <w:tcW w:type="dxa" w:w="3600"/>
            <w:vAlign w:val="top"/>
          </w:tcPr>
          <w:p>
            <w:r>
              <w:rPr>
                <w:sz w:val="18"/>
              </w:rPr>
              <w:t>Загрузка эффективной мощности</w:t>
            </w:r>
          </w:p>
        </w:tc>
        <w:tc>
          <w:tcPr>
            <w:tcW w:type="dxa" w:w="2592"/>
            <w:vAlign w:val="top"/>
          </w:tcPr>
          <w:p>
            <w:r>
              <w:rPr>
                <w:sz w:val="18"/>
              </w:rPr>
              <w:t>≈ 49%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При 120 ч/мес и 15% резерве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3CD"/>
          </w:tcPr>
          <w:p>
            <w:r>
              <w:rPr>
                <w:b/>
                <w:color w:val="10243E"/>
              </w:rPr>
              <w:t>Сильный сценарий не равен автоматическому GO</w:t>
              <w:br/>
            </w:r>
            <w:r>
              <w:t>8 проектов в месяц уже используют около 90% эффективной мощности одного исполнителя. На этом уровне любой rework, поездка или длинная презентация быстро создаёт перегруз. Масштабирование требует либо повышения цены/сокращения трудоёмкости, либо стандартизированной сети проверяющих и отдельного QA.</w:t>
            </w:r>
          </w:p>
        </w:tc>
      </w:tr>
    </w:tbl>
    <w:p/>
    <w:p>
      <w:pPr>
        <w:pStyle w:val="Heading1"/>
      </w:pPr>
      <w:r>
        <w:t>9. B2B-продажи: что проверять, а не обещать</w:t>
      </w:r>
    </w:p>
    <w:p>
      <w:pPr>
        <w:pStyle w:val="ListBullet"/>
      </w:pPr>
      <w:r>
        <w:t>Сделать demo-отчёт на учебном кейсе и показать формат результата до продажи.</w:t>
      </w:r>
    </w:p>
    <w:p>
      <w:pPr>
        <w:pStyle w:val="ListBullet"/>
      </w:pPr>
      <w:r>
        <w:t>Выбрать одну нишу и говорить на её языке: «аудит записи автосервиса» сильнее, чем «мы улучшаем клиентский опыт».</w:t>
      </w:r>
    </w:p>
    <w:p>
      <w:pPr>
        <w:pStyle w:val="ListBullet"/>
      </w:pPr>
      <w:r>
        <w:t>Обращаться не с обещанием «найти потери», а с конкретной гипотезой пути и маленьким платным тестом.</w:t>
      </w:r>
    </w:p>
    <w:p>
      <w:pPr>
        <w:pStyle w:val="ListBullet"/>
      </w:pPr>
      <w:r>
        <w:t>Вести воронку: целевая компания → контакт → встреча → предложение → платный аудит → повторная проверка.</w:t>
      </w:r>
    </w:p>
    <w:p>
      <w:pPr>
        <w:pStyle w:val="ListBullet"/>
      </w:pPr>
      <w:r>
        <w:t>Главный признак продукта — не один проданный аудит, а готовность клиента заплатить за recheck после изменений.</w:t>
      </w:r>
    </w:p>
    <w:p>
      <w:pPr>
        <w:pStyle w:val="Heading1"/>
      </w:pPr>
      <w:r>
        <w:t>10. Налоги, данные и запись разговоров</w:t>
      </w:r>
    </w:p>
    <w:p>
      <w:r>
        <w:t>Для одиночного исполнителя НПД может использоваться только при соблюдении условий режима. ФНС в 2026 году указывает лимит 2,4 млн ₽ в год, отсутствие наёмных работников и ставку 6% при работе с организациями и ИП. Если модель превращается в агентство со штатом, налоговая и договорная конструкция должна быть пересчитана.</w:t>
      </w:r>
    </w:p>
    <w:p>
      <w:r>
        <w:t>Если в проекте системно собираются или хранятся сведения, позволяющие идентифицировать людей, нужно отдельно определить роли и обязанности по законодательству о персональных данных. Роскомнадзор предоставляет форму уведомления оператора персональных данных; применимость обязанности зависит от конкретной обработки и исключений закона.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DECEC"/>
          </w:tcPr>
          <w:p>
            <w:r>
              <w:rPr>
                <w:b/>
                <w:color w:val="10243E"/>
              </w:rPr>
              <w:t>Скрытая аудио/видеофиксация — не базовый инструмент</w:t>
              <w:br/>
            </w:r>
            <w:r>
              <w:t>Профессиональные исследовательские компании могут использовать запись в своих проектах, но это не даёт универсального правового разрешения для любой схемы. В базовой версии услуги достаточно таймстемпов, скриншотов публичных каналов, чека/заказа и стандартизированного чек-листа. Любой сценарий скрытой записи лучше отдельно согласовать с юристом до запуска.</w:t>
            </w:r>
          </w:p>
        </w:tc>
      </w:tr>
    </w:tbl>
    <w:p/>
    <w:p>
      <w:pPr>
        <w:pStyle w:val="Heading1"/>
      </w:pPr>
      <w:r>
        <w:t>11. Масштабирование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880"/>
            <w:shd w:fill="10243E"/>
          </w:tcPr>
          <w:p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4320"/>
            <w:shd w:fill="10243E"/>
          </w:tcPr>
          <w:p>
            <w:r>
              <w:rPr>
                <w:b/>
                <w:color w:val="FFFFFF"/>
                <w:sz w:val="18"/>
              </w:rPr>
              <w:t>Что меняется</w:t>
            </w:r>
          </w:p>
        </w:tc>
        <w:tc>
          <w:tcPr>
            <w:tcW w:type="dxa" w:w="3600"/>
            <w:shd w:fill="10243E"/>
          </w:tcPr>
          <w:p>
            <w:r>
              <w:rPr>
                <w:b/>
                <w:color w:val="FFFFFF"/>
                <w:sz w:val="18"/>
              </w:rPr>
              <w:t>Главный риск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1. Один исполнитель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Сам продаёт, проектирует, проверяет и анализирует</w:t>
            </w:r>
          </w:p>
        </w:tc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Потолок времени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sz w:val="18"/>
              </w:rPr>
              <w:t>2. Сеть проверяющих</w:t>
            </w:r>
          </w:p>
        </w:tc>
        <w:tc>
          <w:tcPr>
            <w:tcW w:type="dxa" w:w="4320"/>
            <w:vAlign w:val="top"/>
          </w:tcPr>
          <w:p>
            <w:r>
              <w:rPr>
                <w:sz w:val="18"/>
              </w:rPr>
              <w:t>Основатель продаёт/анализирует, поле распределено</w:t>
            </w:r>
          </w:p>
        </w:tc>
        <w:tc>
          <w:tcPr>
            <w:tcW w:type="dxa" w:w="3600"/>
            <w:vAlign w:val="top"/>
          </w:tcPr>
          <w:p>
            <w:r>
              <w:rPr>
                <w:sz w:val="18"/>
              </w:rPr>
              <w:t>Качество и сопоставимость данных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3. Специализированный сервис</w:t>
            </w:r>
          </w:p>
        </w:tc>
        <w:tc>
          <w:tcPr>
            <w:tcW w:type="dxa" w:w="4320"/>
            <w:vAlign w:val="top"/>
            <w:shd w:fill="F7F8FA"/>
          </w:tcPr>
          <w:p>
            <w:r>
              <w:rPr>
                <w:sz w:val="18"/>
              </w:rPr>
              <w:t>Методика по одной отрасли, регулярный мониторинг, benchmarks</w:t>
            </w:r>
          </w:p>
        </w:tc>
        <w:tc>
          <w:tcPr>
            <w:tcW w:type="dxa" w:w="3600"/>
            <w:vAlign w:val="top"/>
            <w:shd w:fill="F7F8FA"/>
          </w:tcPr>
          <w:p>
            <w:r>
              <w:rPr>
                <w:sz w:val="18"/>
              </w:rPr>
              <w:t>Данные, договоры, QA, репутация</w:t>
            </w:r>
          </w:p>
        </w:tc>
      </w:tr>
    </w:tbl>
    <w:p/>
    <w:p>
      <w:pPr>
        <w:pStyle w:val="Heading1"/>
      </w:pPr>
      <w:r>
        <w:t>12. Риски и stop-conditions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880"/>
            <w:shd w:fill="10243E"/>
          </w:tcPr>
          <w:p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4032"/>
            <w:shd w:fill="10243E"/>
          </w:tcPr>
          <w:p>
            <w:r>
              <w:rPr>
                <w:b/>
                <w:color w:val="FFFFFF"/>
                <w:sz w:val="18"/>
              </w:rPr>
              <w:t>Ранний сигнал</w:t>
            </w:r>
          </w:p>
        </w:tc>
        <w:tc>
          <w:tcPr>
            <w:tcW w:type="dxa" w:w="3888"/>
            <w:shd w:fill="10243E"/>
          </w:tcPr>
          <w:p>
            <w:r>
              <w:rPr>
                <w:b/>
                <w:color w:val="FFFFFF"/>
                <w:sz w:val="18"/>
              </w:rPr>
              <w:t>Что делать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Нет доверия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Никто не соглашается даже на маленький платный тест</w:t>
            </w:r>
          </w:p>
        </w:tc>
        <w:tc>
          <w:tcPr>
            <w:tcW w:type="dxa" w:w="3888"/>
            <w:vAlign w:val="top"/>
            <w:shd w:fill="F7F8FA"/>
          </w:tcPr>
          <w:p>
            <w:r>
              <w:rPr>
                <w:sz w:val="18"/>
              </w:rPr>
              <w:t>Сузить нишу, усилить demo-отчёт, переписать оффер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sz w:val="18"/>
              </w:rPr>
              <w:t>Субъективный отчёт</w:t>
            </w:r>
          </w:p>
        </w:tc>
        <w:tc>
          <w:tcPr>
            <w:tcW w:type="dxa" w:w="4032"/>
            <w:vAlign w:val="top"/>
          </w:tcPr>
          <w:p>
            <w:r>
              <w:rPr>
                <w:sz w:val="18"/>
              </w:rPr>
              <w:t>Клиент спорит с формулировками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8"/>
              </w:rPr>
              <w:t>Убрать оценки, которые нельзя перепроверить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Цена ниже трудоёмкости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Economic profit &lt;= 0</w:t>
            </w:r>
          </w:p>
        </w:tc>
        <w:tc>
          <w:tcPr>
            <w:tcW w:type="dxa" w:w="3888"/>
            <w:vAlign w:val="top"/>
            <w:shd w:fill="F7F8FA"/>
          </w:tcPr>
          <w:p>
            <w:r>
              <w:rPr>
                <w:sz w:val="18"/>
              </w:rPr>
              <w:t>Повысить цену, сократить scope или остановить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sz w:val="18"/>
              </w:rPr>
              <w:t>Перегруз</w:t>
            </w:r>
          </w:p>
        </w:tc>
        <w:tc>
          <w:tcPr>
            <w:tcW w:type="dxa" w:w="4032"/>
            <w:vAlign w:val="top"/>
          </w:tcPr>
          <w:p>
            <w:r>
              <w:rPr>
                <w:sz w:val="18"/>
              </w:rPr>
              <w:t>Загрузка &gt; 85% эффективной мощности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8"/>
              </w:rPr>
              <w:t>Не добавлять проекты без изменения процесса</w:t>
            </w:r>
          </w:p>
        </w:tc>
      </w:tr>
      <w:tr>
        <w:tc>
          <w:tcPr>
            <w:tcW w:type="dxa" w:w="2880"/>
            <w:vAlign w:val="top"/>
            <w:shd w:fill="F7F8FA"/>
          </w:tcPr>
          <w:p>
            <w:r>
              <w:rPr>
                <w:sz w:val="18"/>
              </w:rPr>
              <w:t>Юридически сомнительная фиксация</w:t>
            </w:r>
          </w:p>
        </w:tc>
        <w:tc>
          <w:tcPr>
            <w:tcW w:type="dxa" w:w="4032"/>
            <w:vAlign w:val="top"/>
            <w:shd w:fill="F7F8FA"/>
          </w:tcPr>
          <w:p>
            <w:r>
              <w:rPr>
                <w:sz w:val="18"/>
              </w:rPr>
              <w:t>Проект требует скрытых данных/записей без протокола</w:t>
            </w:r>
          </w:p>
        </w:tc>
        <w:tc>
          <w:tcPr>
            <w:tcW w:type="dxa" w:w="3888"/>
            <w:vAlign w:val="top"/>
            <w:shd w:fill="F7F8FA"/>
          </w:tcPr>
          <w:p>
            <w:r>
              <w:rPr>
                <w:sz w:val="18"/>
              </w:rPr>
              <w:t>Остановить до правовой проверки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sz w:val="18"/>
              </w:rPr>
              <w:t>Нет повторяемости</w:t>
            </w:r>
          </w:p>
        </w:tc>
        <w:tc>
          <w:tcPr>
            <w:tcW w:type="dxa" w:w="4032"/>
            <w:vAlign w:val="top"/>
          </w:tcPr>
          <w:p>
            <w:r>
              <w:rPr>
                <w:sz w:val="18"/>
              </w:rPr>
              <w:t>После исправлений клиент не видит смысла в recheck</w:t>
            </w:r>
          </w:p>
        </w:tc>
        <w:tc>
          <w:tcPr>
            <w:tcW w:type="dxa" w:w="3888"/>
            <w:vAlign w:val="top"/>
          </w:tcPr>
          <w:p>
            <w:r>
              <w:rPr>
                <w:sz w:val="18"/>
              </w:rPr>
              <w:t>Считать услугу проектной, а не подписной</w:t>
            </w:r>
          </w:p>
        </w:tc>
      </w:tr>
    </w:tbl>
    <w:p/>
    <w:p>
      <w:pPr>
        <w:pStyle w:val="Heading1"/>
      </w:pPr>
      <w:r>
        <w:t>13. План 30 / 60 /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016"/>
            <w:shd w:fill="10243E"/>
          </w:tcPr>
          <w:p>
            <w:r>
              <w:rPr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5760"/>
            <w:shd w:fill="10243E"/>
          </w:tcPr>
          <w:p>
            <w:r>
              <w:rPr>
                <w:b/>
                <w:color w:val="FFFFFF"/>
                <w:sz w:val="18"/>
              </w:rPr>
              <w:t>Цель</w:t>
            </w:r>
          </w:p>
        </w:tc>
        <w:tc>
          <w:tcPr>
            <w:tcW w:type="dxa" w:w="3312"/>
            <w:shd w:fill="10243E"/>
          </w:tcPr>
          <w:p>
            <w:r>
              <w:rPr>
                <w:b/>
                <w:color w:val="FFFFFF"/>
                <w:sz w:val="18"/>
              </w:rPr>
              <w:t>Gate</w:t>
            </w:r>
          </w:p>
        </w:tc>
      </w:tr>
      <w:tr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0–30 дней</w:t>
            </w:r>
          </w:p>
        </w:tc>
        <w:tc>
          <w:tcPr>
            <w:tcW w:type="dxa" w:w="5760"/>
            <w:vAlign w:val="top"/>
            <w:shd w:fill="F7F8FA"/>
          </w:tcPr>
          <w:p>
            <w:r>
              <w:rPr>
                <w:sz w:val="18"/>
              </w:rPr>
              <w:t>Ниша, demo, 30 компаний, первый платный аудит</w:t>
            </w:r>
          </w:p>
        </w:tc>
        <w:tc>
          <w:tcPr>
            <w:tcW w:type="dxa" w:w="3312"/>
            <w:vAlign w:val="top"/>
            <w:shd w:fill="F7F8FA"/>
          </w:tcPr>
          <w:p>
            <w:r>
              <w:rPr>
                <w:sz w:val="18"/>
              </w:rPr>
              <w:t>Есть 1 платный клиент и фактическая экономика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sz w:val="18"/>
              </w:rPr>
              <w:t>31–60 дней</w:t>
            </w:r>
          </w:p>
        </w:tc>
        <w:tc>
          <w:tcPr>
            <w:tcW w:type="dxa" w:w="5760"/>
            <w:vAlign w:val="top"/>
          </w:tcPr>
          <w:p>
            <w:r>
              <w:rPr>
                <w:sz w:val="18"/>
              </w:rPr>
              <w:t>Второй/третий проект, стандартизация отчёта и QA</w:t>
            </w:r>
          </w:p>
        </w:tc>
        <w:tc>
          <w:tcPr>
            <w:tcW w:type="dxa" w:w="3312"/>
            <w:vAlign w:val="top"/>
          </w:tcPr>
          <w:p>
            <w:r>
              <w:rPr>
                <w:sz w:val="18"/>
              </w:rPr>
              <w:t>Спорные критерии &lt; 10%, economic margin положительная</w:t>
            </w:r>
          </w:p>
        </w:tc>
      </w:tr>
      <w:tr>
        <w:tc>
          <w:tcPr>
            <w:tcW w:type="dxa" w:w="2016"/>
            <w:vAlign w:val="top"/>
            <w:shd w:fill="F7F8FA"/>
          </w:tcPr>
          <w:p>
            <w:r>
              <w:rPr>
                <w:sz w:val="18"/>
              </w:rPr>
              <w:t>61–90 дней</w:t>
            </w:r>
          </w:p>
        </w:tc>
        <w:tc>
          <w:tcPr>
            <w:tcW w:type="dxa" w:w="5760"/>
            <w:vAlign w:val="top"/>
            <w:shd w:fill="F7F8FA"/>
          </w:tcPr>
          <w:p>
            <w:r>
              <w:rPr>
                <w:sz w:val="18"/>
              </w:rPr>
              <w:t>Повторная проверка, решение о специализации/мониторинге</w:t>
            </w:r>
          </w:p>
        </w:tc>
        <w:tc>
          <w:tcPr>
            <w:tcW w:type="dxa" w:w="3312"/>
            <w:vAlign w:val="top"/>
            <w:shd w:fill="F7F8FA"/>
          </w:tcPr>
          <w:p>
            <w:r>
              <w:rPr>
                <w:sz w:val="18"/>
              </w:rPr>
              <w:t>Есть повторный заказ или понятная причина, почему его нет</w:t>
            </w:r>
          </w:p>
        </w:tc>
      </w:tr>
    </w:tbl>
    <w:p/>
    <w:p>
      <w:pPr>
        <w:pStyle w:val="Heading1"/>
      </w:pPr>
      <w:r>
        <w:t>14. Итоговое решение</w:t>
      </w:r>
    </w:p>
    <w:p>
      <w:r>
        <w:t>TEST. Модель реальна и подтверждается существованием профессиональных Mystery Shopping / customer-journey исследований. Стартовый капитал невысокий, а базовый сценарий показывает положительную экономику. Но главный актив — не «тайный покупатель», а методология и доверие. До первого платного проекта и повторного интереса клиента устойчивость не доказана.</w:t>
      </w:r>
    </w:p>
    <w:p>
      <w:pPr>
        <w:pStyle w:val="Heading1"/>
      </w:pPr>
      <w:r>
        <w:t>Источники и правовые ориентиры</w:t>
      </w:r>
    </w:p>
    <w:p>
      <w:r>
        <w:t>Актуальность проверена на 23 августа 2026 года. Источники подтверждают существование и методологию Mystery Shopping, подход к анализу клиентского пути и отдельные налоговые/правовые ориентиры. Они не подтверждают «среднюю цену аудита», среднюю маржу или конверсию продаж маленького исполнителя — эти значения в модели сценарные.</w:t>
      </w:r>
    </w:p>
    <w:p>
      <w:pPr>
        <w:pStyle w:val="ListBullet"/>
      </w:pPr>
      <w:r>
        <w:rPr>
          <w:b/>
        </w:rPr>
        <w:t xml:space="preserve">НАФИ — Mystery Shopping: </w:t>
      </w:r>
      <w:r>
        <w:t>https://nafi.ru/method/mystery-shopping-taynyy-pokupatel/</w:t>
      </w:r>
    </w:p>
    <w:p>
      <w:pPr>
        <w:pStyle w:val="ListBullet"/>
      </w:pPr>
      <w:r>
        <w:rPr>
          <w:b/>
        </w:rPr>
        <w:t xml:space="preserve">НАФИ — Сопровождаемые покупки: </w:t>
      </w:r>
      <w:r>
        <w:t>https://nafi.ru/method/soprovozhdaemye-pokupki/</w:t>
      </w:r>
    </w:p>
    <w:p>
      <w:pPr>
        <w:pStyle w:val="ListBullet"/>
      </w:pPr>
      <w:r>
        <w:rPr>
          <w:b/>
        </w:rPr>
        <w:t xml:space="preserve">НАФИ — Решения и возможности 2026: </w:t>
      </w:r>
      <w:r>
        <w:t>https://nafi.ru/upload/presentations/NAFI-2026.pdf</w:t>
      </w:r>
    </w:p>
    <w:p>
      <w:pPr>
        <w:pStyle w:val="ListBullet"/>
      </w:pPr>
      <w:r>
        <w:rPr>
          <w:b/>
        </w:rPr>
        <w:t xml:space="preserve">Mediascope — исследования «Тайный покупатель»: </w:t>
      </w:r>
      <w:r>
        <w:t>https://mediascope.net/services/marketing/practice_areas/issledovaniya_taynyy_pokupatel/</w:t>
      </w:r>
    </w:p>
    <w:p>
      <w:pPr>
        <w:pStyle w:val="ListBullet"/>
      </w:pPr>
      <w:r>
        <w:rPr>
          <w:b/>
        </w:rPr>
        <w:t xml:space="preserve">ФНС — основные правила НПД в 2026: </w:t>
      </w:r>
      <w:r>
        <w:t>https://www.nalog.gov.ru/rn25/ifns/r25_14/info/16615800/</w:t>
      </w:r>
    </w:p>
    <w:p>
      <w:pPr>
        <w:pStyle w:val="ListBullet"/>
      </w:pPr>
      <w:r>
        <w:rPr>
          <w:b/>
        </w:rPr>
        <w:t xml:space="preserve">Роскомнадзор — уведомление об обработке ПД: </w:t>
      </w:r>
      <w:r>
        <w:t>https://pd.rkn.gov.ru/operators-registry/notification/</w:t>
      </w:r>
    </w:p>
    <w:p>
      <w:pPr>
        <w:pStyle w:val="ListBullet"/>
      </w:pPr>
      <w:r>
        <w:rPr>
          <w:b/>
        </w:rPr>
        <w:t xml:space="preserve">Конституционный Суд РФ — правовая позиция по тайне переговоров: </w:t>
      </w:r>
      <w:r>
        <w:t>https://www.ksrf.ru/doc/KSRFDecision296447.pdf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6"/>
      </w:rPr>
      <w:t>Фактчек: 23.08.2026  •  Сценарные значения требуют замены фактическими данными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B6573"/>
        <w:sz w:val="16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43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C7A4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43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