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Due diligence и матрица выбора проекта</w:t>
      </w:r>
    </w:p>
    <w:p>
      <w:r>
        <w:rPr>
          <w:b/>
          <w:color w:val="5B6573"/>
          <w:sz w:val="23"/>
        </w:rPr>
        <w:t>Проверка клиента, scope, данных, доказательств и экономики до подписания первого аудита. Цель — не брать проект, который нельзя корректно проверить или который создаёт несоразмерный риск.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88"/>
        <w:gridCol w:w="8352"/>
      </w:tblGrid>
      <w:tr>
        <w:tc>
          <w:tcPr>
            <w:tcW w:type="dxa" w:w="5112"/>
            <w:shd w:fill="C7A45D"/>
            <w:vAlign w:val="center"/>
          </w:tcPr>
          <w:p>
            <w:r>
              <w:rPr>
                <w:rFonts w:ascii="Arial" w:hAnsi="Arial"/>
                <w:b/>
                <w:sz w:val="20"/>
              </w:rPr>
              <w:t>ВЕРДИКТ</w:t>
            </w:r>
          </w:p>
        </w:tc>
        <w:tc>
          <w:tcPr>
            <w:tcW w:type="dxa" w:w="5112"/>
            <w:shd w:fill="FFF3CD"/>
            <w:vAlign w:val="center"/>
          </w:tcPr>
          <w:p>
            <w:r>
              <w:rPr>
                <w:rFonts w:ascii="Arial" w:hAnsi="Arial"/>
                <w:b/>
                <w:sz w:val="20"/>
              </w:rPr>
              <w:t>TEST — экономика допускает тест, устойчивость не доказана до платного проекта и повторного заказа</w:t>
            </w:r>
          </w:p>
        </w:tc>
      </w:tr>
    </w:tbl>
    <w:p/>
    <w:p>
      <w:pPr>
        <w:pStyle w:val="Heading1"/>
      </w:pPr>
      <w:r>
        <w:t>1. Быстрый фильтр: брать ли проект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3744"/>
            <w:shd w:fill="10243E"/>
          </w:tcPr>
          <w:p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2304"/>
            <w:shd w:fill="10243E"/>
          </w:tcPr>
          <w:p>
            <w:r>
              <w:rPr>
                <w:b/>
                <w:color w:val="FFFFFF"/>
                <w:sz w:val="18"/>
              </w:rPr>
              <w:t>0 — нет</w:t>
            </w:r>
          </w:p>
        </w:tc>
        <w:tc>
          <w:tcPr>
            <w:tcW w:type="dxa" w:w="2304"/>
            <w:shd w:fill="10243E"/>
          </w:tcPr>
          <w:p>
            <w:r>
              <w:rPr>
                <w:b/>
                <w:color w:val="FFFFFF"/>
                <w:sz w:val="18"/>
              </w:rPr>
              <w:t>1 — частично</w:t>
            </w:r>
          </w:p>
        </w:tc>
        <w:tc>
          <w:tcPr>
            <w:tcW w:type="dxa" w:w="2304"/>
            <w:shd w:fill="10243E"/>
          </w:tcPr>
          <w:p>
            <w:r>
              <w:rPr>
                <w:b/>
                <w:color w:val="FFFFFF"/>
                <w:sz w:val="18"/>
              </w:rPr>
              <w:t>2 — да</w:t>
            </w:r>
          </w:p>
        </w:tc>
      </w:tr>
      <w:tr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Есть конкретная бизнес-задача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«Посмотрите всё»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Есть общая проблема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Есть путь/канал/сценарий</w:t>
            </w:r>
          </w:p>
        </w:tc>
      </w:tr>
      <w:tr>
        <w:tc>
          <w:tcPr>
            <w:tcW w:type="dxa" w:w="3744"/>
            <w:vAlign w:val="top"/>
          </w:tcPr>
          <w:p>
            <w:r>
              <w:rPr>
                <w:sz w:val="18"/>
              </w:rPr>
              <w:t>Можно наблюдать факт</w:t>
            </w:r>
          </w:p>
        </w:tc>
        <w:tc>
          <w:tcPr>
            <w:tcW w:type="dxa" w:w="2304"/>
            <w:vAlign w:val="top"/>
          </w:tcPr>
          <w:p>
            <w:r>
              <w:rPr>
                <w:sz w:val="18"/>
              </w:rPr>
              <w:t>Только субъективная оценка</w:t>
            </w:r>
          </w:p>
        </w:tc>
        <w:tc>
          <w:tcPr>
            <w:tcW w:type="dxa" w:w="2304"/>
            <w:vAlign w:val="top"/>
          </w:tcPr>
          <w:p>
            <w:r>
              <w:rPr>
                <w:sz w:val="18"/>
              </w:rPr>
              <w:t>Часть критериев наблюдаема</w:t>
            </w:r>
          </w:p>
        </w:tc>
        <w:tc>
          <w:tcPr>
            <w:tcW w:type="dxa" w:w="2304"/>
            <w:vAlign w:val="top"/>
          </w:tcPr>
          <w:p>
            <w:r>
              <w:rPr>
                <w:sz w:val="18"/>
              </w:rPr>
              <w:t>Большинство критериев проверяемы</w:t>
            </w:r>
          </w:p>
        </w:tc>
      </w:tr>
      <w:tr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Есть повторяемый путь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Каждый кейс уникален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Есть 1–2 похожих сценария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Есть типовой клиентский маршрут</w:t>
            </w:r>
          </w:p>
        </w:tc>
      </w:tr>
      <w:tr>
        <w:tc>
          <w:tcPr>
            <w:tcW w:type="dxa" w:w="3744"/>
            <w:vAlign w:val="top"/>
          </w:tcPr>
          <w:p>
            <w:r>
              <w:rPr>
                <w:sz w:val="18"/>
              </w:rPr>
              <w:t>Заказчик готов согласовать методику</w:t>
            </w:r>
          </w:p>
        </w:tc>
        <w:tc>
          <w:tcPr>
            <w:tcW w:type="dxa" w:w="2304"/>
            <w:vAlign w:val="top"/>
          </w:tcPr>
          <w:p>
            <w:r>
              <w:rPr>
                <w:sz w:val="18"/>
              </w:rPr>
              <w:t>Нет</w:t>
            </w:r>
          </w:p>
        </w:tc>
        <w:tc>
          <w:tcPr>
            <w:tcW w:type="dxa" w:w="2304"/>
            <w:vAlign w:val="top"/>
          </w:tcPr>
          <w:p>
            <w:r>
              <w:rPr>
                <w:sz w:val="18"/>
              </w:rPr>
              <w:t>После объяснения</w:t>
            </w:r>
          </w:p>
        </w:tc>
        <w:tc>
          <w:tcPr>
            <w:tcW w:type="dxa" w:w="2304"/>
            <w:vAlign w:val="top"/>
          </w:tcPr>
          <w:p>
            <w:r>
              <w:rPr>
                <w:sz w:val="18"/>
              </w:rPr>
              <w:t>Да</w:t>
            </w:r>
          </w:p>
        </w:tc>
      </w:tr>
      <w:tr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Доказательства можно собирать безопасно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Нужны закрытые данные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Есть спорные элементы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Достаточно публичных/операционных фактов</w:t>
            </w:r>
          </w:p>
        </w:tc>
      </w:tr>
      <w:tr>
        <w:tc>
          <w:tcPr>
            <w:tcW w:type="dxa" w:w="3744"/>
            <w:vAlign w:val="top"/>
          </w:tcPr>
          <w:p>
            <w:r>
              <w:rPr>
                <w:sz w:val="18"/>
              </w:rPr>
              <w:t>Экономика проекта покрывает время</w:t>
            </w:r>
          </w:p>
        </w:tc>
        <w:tc>
          <w:tcPr>
            <w:tcW w:type="dxa" w:w="2304"/>
            <w:vAlign w:val="top"/>
          </w:tcPr>
          <w:p>
            <w:r>
              <w:rPr>
                <w:sz w:val="18"/>
              </w:rPr>
              <w:t>Нет</w:t>
            </w:r>
          </w:p>
        </w:tc>
        <w:tc>
          <w:tcPr>
            <w:tcW w:type="dxa" w:w="2304"/>
            <w:vAlign w:val="top"/>
          </w:tcPr>
          <w:p>
            <w:r>
              <w:rPr>
                <w:sz w:val="18"/>
              </w:rPr>
              <w:t>На границе</w:t>
            </w:r>
          </w:p>
        </w:tc>
        <w:tc>
          <w:tcPr>
            <w:tcW w:type="dxa" w:w="2304"/>
            <w:vAlign w:val="top"/>
          </w:tcPr>
          <w:p>
            <w:r>
              <w:rPr>
                <w:sz w:val="18"/>
              </w:rPr>
              <w:t>Да</w:t>
            </w:r>
          </w:p>
        </w:tc>
      </w:tr>
      <w:tr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Есть смысл в recheck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Нет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Неясно</w:t>
            </w:r>
          </w:p>
        </w:tc>
        <w:tc>
          <w:tcPr>
            <w:tcW w:type="dxa" w:w="2304"/>
            <w:vAlign w:val="top"/>
            <w:shd w:fill="F7F8FA"/>
          </w:tcPr>
          <w:p>
            <w:r>
              <w:rPr>
                <w:sz w:val="18"/>
              </w:rPr>
              <w:t>Да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3CD"/>
          </w:tcPr>
          <w:p>
            <w:r>
              <w:rPr>
                <w:b/>
                <w:color w:val="10243E"/>
              </w:rPr>
              <w:t>Интерпретация</w:t>
              <w:br/>
            </w:r>
            <w:r>
              <w:t>0–6: STOP. 7–10: RECHECK — пересобрать scope. 11–14: можно переходить к коммерческому предложению, но итог всё равно зависит от договора, данных и правовой проверки.</w:t>
            </w:r>
          </w:p>
        </w:tc>
      </w:tr>
    </w:tbl>
    <w:p/>
    <w:p>
      <w:pPr>
        <w:pStyle w:val="Heading1"/>
      </w:pPr>
      <w:r>
        <w:t>2. Scope checklist</w:t>
      </w:r>
    </w:p>
    <w:p>
      <w:pPr>
        <w:pStyle w:val="ListBullet"/>
      </w:pPr>
      <w:r>
        <w:t>Указана одна цель аудита и один основной клиентский сегмент.</w:t>
      </w:r>
    </w:p>
    <w:p>
      <w:pPr>
        <w:pStyle w:val="ListBullet"/>
      </w:pPr>
      <w:r>
        <w:t>Определены каналы и количество проверок.</w:t>
      </w:r>
    </w:p>
    <w:p>
      <w:pPr>
        <w:pStyle w:val="ListBullet"/>
      </w:pPr>
      <w:r>
        <w:t>Есть список критериев, которые можно наблюдать повторно.</w:t>
      </w:r>
    </w:p>
    <w:p>
      <w:pPr>
        <w:pStyle w:val="ListBullet"/>
      </w:pPr>
      <w:r>
        <w:t>Отдельно перечислено, что не входит: HR-оценка сотрудника, финансовый аудит, юридическое заключение, диагностика CRM без доступа.</w:t>
      </w:r>
    </w:p>
    <w:p>
      <w:pPr>
        <w:pStyle w:val="ListBullet"/>
      </w:pPr>
      <w:r>
        <w:t>Определены допустимые артефакты и срок хранения.</w:t>
      </w:r>
    </w:p>
    <w:p>
      <w:pPr>
        <w:pStyle w:val="ListBullet"/>
      </w:pPr>
      <w:r>
        <w:t>Есть правило спорного факта и порядок перепроверки.</w:t>
      </w:r>
    </w:p>
    <w:p>
      <w:pPr>
        <w:pStyle w:val="ListBullet"/>
      </w:pPr>
      <w:r>
        <w:t>Определена форма итогового отчёта и встреча с заказчиком.</w:t>
      </w:r>
    </w:p>
    <w:p>
      <w:pPr>
        <w:pStyle w:val="Heading1"/>
      </w:pPr>
      <w:r>
        <w:t>3. Матрица данных и доказательств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92"/>
            <w:shd w:fill="10243E"/>
          </w:tcPr>
          <w:p>
            <w:r>
              <w:rPr>
                <w:b/>
                <w:color w:val="FFFFFF"/>
                <w:sz w:val="18"/>
              </w:rPr>
              <w:t>Артефакт</w:t>
            </w:r>
          </w:p>
        </w:tc>
        <w:tc>
          <w:tcPr>
            <w:tcW w:type="dxa" w:w="2016"/>
            <w:shd w:fill="10243E"/>
          </w:tcPr>
          <w:p>
            <w:r>
              <w:rPr>
                <w:b/>
                <w:color w:val="FFFFFF"/>
                <w:sz w:val="18"/>
              </w:rPr>
              <w:t>Ценность</w:t>
            </w:r>
          </w:p>
        </w:tc>
        <w:tc>
          <w:tcPr>
            <w:tcW w:type="dxa" w:w="2592"/>
            <w:shd w:fill="10243E"/>
          </w:tcPr>
          <w:p>
            <w:r>
              <w:rPr>
                <w:b/>
                <w:color w:val="FFFFFF"/>
                <w:sz w:val="18"/>
              </w:rPr>
              <w:t>Риск</w:t>
            </w:r>
          </w:p>
        </w:tc>
        <w:tc>
          <w:tcPr>
            <w:tcW w:type="dxa" w:w="4320"/>
            <w:shd w:fill="10243E"/>
          </w:tcPr>
          <w:p>
            <w:r>
              <w:rPr>
                <w:b/>
                <w:color w:val="FFFFFF"/>
                <w:sz w:val="18"/>
              </w:rPr>
              <w:t>Базовое решение</w:t>
            </w:r>
          </w:p>
        </w:tc>
      </w:tr>
      <w:tr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Таймстемп заявки/ответа</w:t>
            </w:r>
          </w:p>
        </w:tc>
        <w:tc>
          <w:tcPr>
            <w:tcW w:type="dxa" w:w="2016"/>
            <w:vAlign w:val="top"/>
            <w:shd w:fill="F7F8FA"/>
          </w:tcPr>
          <w:p>
            <w:r>
              <w:rPr>
                <w:sz w:val="18"/>
              </w:rPr>
              <w:t>Высокая</w:t>
            </w:r>
          </w:p>
        </w:tc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Низкий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Использовать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sz w:val="18"/>
              </w:rPr>
              <w:t>Скриншот публичного чата/формы</w:t>
            </w:r>
          </w:p>
        </w:tc>
        <w:tc>
          <w:tcPr>
            <w:tcW w:type="dxa" w:w="2016"/>
            <w:vAlign w:val="top"/>
          </w:tcPr>
          <w:p>
            <w:r>
              <w:rPr>
                <w:sz w:val="18"/>
              </w:rPr>
              <w:t>Высокая</w:t>
            </w:r>
          </w:p>
        </w:tc>
        <w:tc>
          <w:tcPr>
            <w:tcW w:type="dxa" w:w="2592"/>
            <w:vAlign w:val="top"/>
          </w:tcPr>
          <w:p>
            <w:r>
              <w:rPr>
                <w:sz w:val="18"/>
              </w:rPr>
              <w:t>Средний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Минимизировать ПД, хранить по проекту</w:t>
            </w:r>
          </w:p>
        </w:tc>
      </w:tr>
      <w:tr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Чек/заказ</w:t>
            </w:r>
          </w:p>
        </w:tc>
        <w:tc>
          <w:tcPr>
            <w:tcW w:type="dxa" w:w="2016"/>
            <w:vAlign w:val="top"/>
            <w:shd w:fill="F7F8FA"/>
          </w:tcPr>
          <w:p>
            <w:r>
              <w:rPr>
                <w:sz w:val="18"/>
              </w:rPr>
              <w:t>Высокая</w:t>
            </w:r>
          </w:p>
        </w:tc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Средний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Использовать только по согласованному сценарию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sz w:val="18"/>
              </w:rPr>
              <w:t>Заметки проверяющего</w:t>
            </w:r>
          </w:p>
        </w:tc>
        <w:tc>
          <w:tcPr>
            <w:tcW w:type="dxa" w:w="2016"/>
            <w:vAlign w:val="top"/>
          </w:tcPr>
          <w:p>
            <w:r>
              <w:rPr>
                <w:sz w:val="18"/>
              </w:rPr>
              <w:t>Средняя</w:t>
            </w:r>
          </w:p>
        </w:tc>
        <w:tc>
          <w:tcPr>
            <w:tcW w:type="dxa" w:w="2592"/>
            <w:vAlign w:val="top"/>
          </w:tcPr>
          <w:p>
            <w:r>
              <w:rPr>
                <w:sz w:val="18"/>
              </w:rPr>
              <w:t>Субъективность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Структурировать чек-листом</w:t>
            </w:r>
          </w:p>
        </w:tc>
      </w:tr>
      <w:tr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Аудиозапись</w:t>
            </w:r>
          </w:p>
        </w:tc>
        <w:tc>
          <w:tcPr>
            <w:tcW w:type="dxa" w:w="2016"/>
            <w:vAlign w:val="top"/>
            <w:shd w:fill="F7F8FA"/>
          </w:tcPr>
          <w:p>
            <w:r>
              <w:rPr>
                <w:sz w:val="18"/>
              </w:rPr>
              <w:t>Высокая</w:t>
            </w:r>
          </w:p>
        </w:tc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Правовой/ПД риск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Не включать в базовый протокол без отдельной проверки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sz w:val="18"/>
              </w:rPr>
              <w:t>Видео</w:t>
            </w:r>
          </w:p>
        </w:tc>
        <w:tc>
          <w:tcPr>
            <w:tcW w:type="dxa" w:w="2016"/>
            <w:vAlign w:val="top"/>
          </w:tcPr>
          <w:p>
            <w:r>
              <w:rPr>
                <w:sz w:val="18"/>
              </w:rPr>
              <w:t>Высокая</w:t>
            </w:r>
          </w:p>
        </w:tc>
        <w:tc>
          <w:tcPr>
            <w:tcW w:type="dxa" w:w="2592"/>
            <w:vAlign w:val="top"/>
          </w:tcPr>
          <w:p>
            <w:r>
              <w:rPr>
                <w:sz w:val="18"/>
              </w:rPr>
              <w:t>Высокий риск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Не включать автоматически</w:t>
            </w:r>
          </w:p>
        </w:tc>
      </w:tr>
      <w:tr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Внутренняя CRM клиента</w:t>
            </w:r>
          </w:p>
        </w:tc>
        <w:tc>
          <w:tcPr>
            <w:tcW w:type="dxa" w:w="2016"/>
            <w:vAlign w:val="top"/>
            <w:shd w:fill="F7F8FA"/>
          </w:tcPr>
          <w:p>
            <w:r>
              <w:rPr>
                <w:sz w:val="18"/>
              </w:rPr>
              <w:t>Очень высокая</w:t>
            </w:r>
          </w:p>
        </w:tc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Доступ/ПД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Только отдельный scope и роли обработки</w:t>
            </w:r>
          </w:p>
        </w:tc>
      </w:tr>
    </w:tbl>
    <w:p/>
    <w:p>
      <w:pPr>
        <w:pStyle w:val="Heading1"/>
      </w:pPr>
      <w:r>
        <w:t>4. Red flags клиента</w:t>
      </w:r>
    </w:p>
    <w:p>
      <w:pPr>
        <w:pStyle w:val="ListBullet"/>
      </w:pPr>
      <w:r>
        <w:t>Заказчик хочет «подловить» конкретного сотрудника, а не проверить процесс.</w:t>
      </w:r>
    </w:p>
    <w:p>
      <w:pPr>
        <w:pStyle w:val="ListBullet"/>
      </w:pPr>
      <w:r>
        <w:t>Требует провокации, конфликта или получения сведений, которые обычному клиенту недоступны.</w:t>
      </w:r>
    </w:p>
    <w:p>
      <w:pPr>
        <w:pStyle w:val="ListBullet"/>
      </w:pPr>
      <w:r>
        <w:t>Просит публично публиковать имена/записи сотрудников.</w:t>
      </w:r>
    </w:p>
    <w:p>
      <w:pPr>
        <w:pStyle w:val="ListBullet"/>
      </w:pPr>
      <w:r>
        <w:t>Хочет точную оценку «потерянных денег», но не готов давать данные о лидах, конверсии, чеке и марже.</w:t>
      </w:r>
    </w:p>
    <w:p>
      <w:pPr>
        <w:pStyle w:val="ListBullet"/>
      </w:pPr>
      <w:r>
        <w:t>Не готов письменно согласовать scope и критерии.</w:t>
      </w:r>
    </w:p>
    <w:p>
      <w:pPr>
        <w:pStyle w:val="ListBullet"/>
      </w:pPr>
      <w:r>
        <w:t>Цена проекта ниже расчётной трудоёмкости, а сократить объём нельзя.</w:t>
      </w:r>
    </w:p>
    <w:p>
      <w:pPr>
        <w:pStyle w:val="Heading1"/>
      </w:pPr>
      <w:r>
        <w:t>5. Контрактный минимум</w:t>
      </w:r>
    </w:p>
    <w:p>
      <w:pPr>
        <w:pStyle w:val="ListBullet"/>
      </w:pPr>
      <w:r>
        <w:t>Цель и объект проверки.</w:t>
      </w:r>
    </w:p>
    <w:p>
      <w:pPr>
        <w:pStyle w:val="ListBullet"/>
      </w:pPr>
      <w:r>
        <w:t>Сценарии и количество контактов.</w:t>
      </w:r>
    </w:p>
    <w:p>
      <w:pPr>
        <w:pStyle w:val="ListBullet"/>
      </w:pPr>
      <w:r>
        <w:t>Допустимые и запрещённые действия проверяющего.</w:t>
      </w:r>
    </w:p>
    <w:p>
      <w:pPr>
        <w:pStyle w:val="ListBullet"/>
      </w:pPr>
      <w:r>
        <w:t>Состав отчёта и критерии принятия.</w:t>
      </w:r>
    </w:p>
    <w:p>
      <w:pPr>
        <w:pStyle w:val="ListBullet"/>
      </w:pPr>
      <w:r>
        <w:t>Правила передачи/хранения материалов.</w:t>
      </w:r>
    </w:p>
    <w:p>
      <w:pPr>
        <w:pStyle w:val="ListBullet"/>
      </w:pPr>
      <w:r>
        <w:t>Кто отвечает за правовые основания обработки данных и записи, если они используются.</w:t>
      </w:r>
    </w:p>
    <w:p>
      <w:pPr>
        <w:pStyle w:val="ListBullet"/>
      </w:pPr>
      <w:r>
        <w:t>Оговорка о выборке: аудит фиксирует наблюдаемые случаи и не доказывает частоту проблемы во всей компании без дополнительного исследования.</w:t>
      </w:r>
    </w:p>
    <w:p>
      <w:pPr>
        <w:pStyle w:val="ListBullet"/>
      </w:pPr>
      <w:r>
        <w:t>Порядок recheck и отдельная цена/объём повторной проверки.</w:t>
      </w:r>
    </w:p>
    <w:p>
      <w:pPr>
        <w:pStyle w:val="Heading1"/>
      </w:pPr>
      <w:r>
        <w:t>6. Проверка экономики до КП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6768"/>
            <w:shd w:fill="10243E"/>
          </w:tcPr>
          <w:p>
            <w:r>
              <w:rPr>
                <w:b/>
                <w:color w:val="FFFFFF"/>
                <w:sz w:val="18"/>
              </w:rPr>
              <w:t>Вопрос</w:t>
            </w:r>
          </w:p>
        </w:tc>
        <w:tc>
          <w:tcPr>
            <w:tcW w:type="dxa" w:w="3744"/>
            <w:shd w:fill="10243E"/>
          </w:tcPr>
          <w:p>
            <w:r>
              <w:rPr>
                <w:b/>
                <w:color w:val="FFFFFF"/>
                <w:sz w:val="18"/>
              </w:rPr>
              <w:t>Gate</w:t>
            </w:r>
          </w:p>
        </w:tc>
      </w:tr>
      <w:tr>
        <w:tc>
          <w:tcPr>
            <w:tcW w:type="dxa" w:w="6768"/>
            <w:vAlign w:val="top"/>
            <w:shd w:fill="F7F8FA"/>
          </w:tcPr>
          <w:p>
            <w:r>
              <w:rPr>
                <w:sz w:val="18"/>
              </w:rPr>
              <w:t>Сколько часов реально займёт бриф + методика?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Записать фактическую оценку</w:t>
            </w:r>
          </w:p>
        </w:tc>
      </w:tr>
      <w:tr>
        <w:tc>
          <w:tcPr>
            <w:tcW w:type="dxa" w:w="6768"/>
            <w:vAlign w:val="top"/>
          </w:tcPr>
          <w:p>
            <w:r>
              <w:rPr>
                <w:sz w:val="18"/>
              </w:rPr>
              <w:t>Сколько контактов и поездок?</w:t>
            </w:r>
          </w:p>
        </w:tc>
        <w:tc>
          <w:tcPr>
            <w:tcW w:type="dxa" w:w="3744"/>
            <w:vAlign w:val="top"/>
          </w:tcPr>
          <w:p>
            <w:r>
              <w:rPr>
                <w:sz w:val="18"/>
              </w:rPr>
              <w:t>Не считать «один звонок» единицей цены</w:t>
            </w:r>
          </w:p>
        </w:tc>
      </w:tr>
      <w:tr>
        <w:tc>
          <w:tcPr>
            <w:tcW w:type="dxa" w:w="6768"/>
            <w:vAlign w:val="top"/>
            <w:shd w:fill="F7F8FA"/>
          </w:tcPr>
          <w:p>
            <w:r>
              <w:rPr>
                <w:sz w:val="18"/>
              </w:rPr>
              <w:t>Есть ли тестовые покупки?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Включить в прямые расходы</w:t>
            </w:r>
          </w:p>
        </w:tc>
      </w:tr>
      <w:tr>
        <w:tc>
          <w:tcPr>
            <w:tcW w:type="dxa" w:w="6768"/>
            <w:vAlign w:val="top"/>
          </w:tcPr>
          <w:p>
            <w:r>
              <w:rPr>
                <w:sz w:val="18"/>
              </w:rPr>
              <w:t>Сколько времени на QA и отчёт?</w:t>
            </w:r>
          </w:p>
        </w:tc>
        <w:tc>
          <w:tcPr>
            <w:tcW w:type="dxa" w:w="3744"/>
            <w:vAlign w:val="top"/>
          </w:tcPr>
          <w:p>
            <w:r>
              <w:rPr>
                <w:sz w:val="18"/>
              </w:rPr>
              <w:t>Не прятать в бесплатную работу</w:t>
            </w:r>
          </w:p>
        </w:tc>
      </w:tr>
      <w:tr>
        <w:tc>
          <w:tcPr>
            <w:tcW w:type="dxa" w:w="6768"/>
            <w:vAlign w:val="top"/>
            <w:shd w:fill="F7F8FA"/>
          </w:tcPr>
          <w:p>
            <w:r>
              <w:rPr>
                <w:sz w:val="18"/>
              </w:rPr>
              <w:t>Какой налоговый режим применим?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Проверить до выставления цены</w:t>
            </w:r>
          </w:p>
        </w:tc>
      </w:tr>
      <w:tr>
        <w:tc>
          <w:tcPr>
            <w:tcW w:type="dxa" w:w="6768"/>
            <w:vAlign w:val="top"/>
          </w:tcPr>
          <w:p>
            <w:r>
              <w:rPr>
                <w:sz w:val="18"/>
              </w:rPr>
              <w:t>Цена &gt;= расчётной нижней цены?</w:t>
            </w:r>
          </w:p>
        </w:tc>
        <w:tc>
          <w:tcPr>
            <w:tcW w:type="dxa" w:w="3744"/>
            <w:vAlign w:val="top"/>
          </w:tcPr>
          <w:p>
            <w:r>
              <w:rPr>
                <w:sz w:val="18"/>
              </w:rPr>
              <w:t>Если нет — сократить scope или не брать проект</w:t>
            </w:r>
          </w:p>
        </w:tc>
      </w:tr>
      <w:tr>
        <w:tc>
          <w:tcPr>
            <w:tcW w:type="dxa" w:w="6768"/>
            <w:vAlign w:val="top"/>
            <w:shd w:fill="F7F8FA"/>
          </w:tcPr>
          <w:p>
            <w:r>
              <w:rPr>
                <w:sz w:val="18"/>
              </w:rPr>
              <w:t>Загрузка после проекта &lt;= 85% эффективной мощности?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Если нет — перенос / подрядчик / отказ</w:t>
            </w:r>
          </w:p>
        </w:tc>
      </w:tr>
    </w:tbl>
    <w:p/>
    <w:p>
      <w:pPr>
        <w:pStyle w:val="Heading1"/>
      </w:pPr>
      <w:r>
        <w:t>7. Подрядчики и сеть проверяющих</w:t>
      </w:r>
    </w:p>
    <w:p>
      <w:pPr>
        <w:pStyle w:val="ListBullet"/>
      </w:pPr>
      <w:r>
        <w:t>Не масштабировать сеть до того, как один сценарий стабильно проходит QA.</w:t>
      </w:r>
    </w:p>
    <w:p>
      <w:pPr>
        <w:pStyle w:val="ListBullet"/>
      </w:pPr>
      <w:r>
        <w:t>Каждый проверяющий получает одну версию легенды и чек-листа.</w:t>
      </w:r>
    </w:p>
    <w:p>
      <w:pPr>
        <w:pStyle w:val="ListBullet"/>
      </w:pPr>
      <w:r>
        <w:t>Перед полем — тестовый кейс и контроль понимания критических критериев.</w:t>
      </w:r>
    </w:p>
    <w:p>
      <w:pPr>
        <w:pStyle w:val="ListBullet"/>
      </w:pPr>
      <w:r>
        <w:t>Каждый проект имеет лог отклонений: где проверяющий отошёл от сценария и почему.</w:t>
      </w:r>
    </w:p>
    <w:p>
      <w:pPr>
        <w:pStyle w:val="ListBullet"/>
      </w:pPr>
      <w:r>
        <w:t>Оплата подрядчика не должна стимулировать «найти как можно больше нарушений».</w:t>
      </w:r>
    </w:p>
    <w:p>
      <w:pPr>
        <w:pStyle w:val="ListBullet"/>
      </w:pPr>
      <w:r>
        <w:t>Отдельно проверять, что отношения с подрядчиками не подменяют трудовые отношения и соответствуют реальной схеме работы.</w:t>
      </w:r>
    </w:p>
    <w:p>
      <w:pPr>
        <w:pStyle w:val="Heading1"/>
      </w:pPr>
      <w:r>
        <w:t>8. Финальное решение по проекту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880"/>
            <w:shd w:fill="10243E"/>
          </w:tcPr>
          <w:p>
            <w:r>
              <w:rPr>
                <w:b/>
                <w:color w:val="FFFFFF"/>
                <w:sz w:val="18"/>
              </w:rPr>
              <w:t>Решение</w:t>
            </w:r>
          </w:p>
        </w:tc>
        <w:tc>
          <w:tcPr>
            <w:tcW w:type="dxa" w:w="7632"/>
            <w:shd w:fill="10243E"/>
          </w:tcPr>
          <w:p>
            <w:r>
              <w:rPr>
                <w:b/>
                <w:color w:val="FFFFFF"/>
                <w:sz w:val="18"/>
              </w:rPr>
              <w:t>Когда</w:t>
            </w:r>
          </w:p>
        </w:tc>
      </w:tr>
      <w:tr>
        <w:tc>
          <w:tcPr>
            <w:tcW w:type="dxa" w:w="2880"/>
            <w:vAlign w:val="top"/>
            <w:shd w:fill="F7F8FA"/>
          </w:tcPr>
          <w:p>
            <w:r>
              <w:rPr>
                <w:sz w:val="18"/>
              </w:rPr>
              <w:t>GO TO PROPOSAL</w:t>
            </w:r>
          </w:p>
        </w:tc>
        <w:tc>
          <w:tcPr>
            <w:tcW w:type="dxa" w:w="7632"/>
            <w:vAlign w:val="top"/>
            <w:shd w:fill="F7F8FA"/>
          </w:tcPr>
          <w:p>
            <w:r>
              <w:rPr>
                <w:sz w:val="18"/>
              </w:rPr>
              <w:t>Scope наблюдаем, методика согласуема, данные безопасны, экономика положительна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sz w:val="18"/>
              </w:rPr>
              <w:t>RECHECK</w:t>
            </w:r>
          </w:p>
        </w:tc>
        <w:tc>
          <w:tcPr>
            <w:tcW w:type="dxa" w:w="7632"/>
            <w:vAlign w:val="top"/>
          </w:tcPr>
          <w:p>
            <w:r>
              <w:rPr>
                <w:sz w:val="18"/>
              </w:rPr>
              <w:t>Нужно сузить сценарий, доказательства или цену</w:t>
            </w:r>
          </w:p>
        </w:tc>
      </w:tr>
      <w:tr>
        <w:tc>
          <w:tcPr>
            <w:tcW w:type="dxa" w:w="2880"/>
            <w:vAlign w:val="top"/>
            <w:shd w:fill="F7F8FA"/>
          </w:tcPr>
          <w:p>
            <w:r>
              <w:rPr>
                <w:sz w:val="18"/>
              </w:rPr>
              <w:t>STOP</w:t>
            </w:r>
          </w:p>
        </w:tc>
        <w:tc>
          <w:tcPr>
            <w:tcW w:type="dxa" w:w="7632"/>
            <w:vAlign w:val="top"/>
            <w:shd w:fill="F7F8FA"/>
          </w:tcPr>
          <w:p>
            <w:r>
              <w:rPr>
                <w:sz w:val="18"/>
              </w:rPr>
              <w:t>Проект требует провокаций/сомнительной фиксации, не покрывает труд или клиент требует недоказуемый финансовый вывод</w:t>
            </w:r>
          </w:p>
        </w:tc>
      </w:tr>
    </w:tbl>
    <w:p/>
    <w:p>
      <w:pPr>
        <w:pStyle w:val="Heading1"/>
      </w:pPr>
      <w:r>
        <w:t>Источники и правовые ориентиры</w:t>
      </w:r>
    </w:p>
    <w:p>
      <w:r>
        <w:t>Актуальность проверена на 23 августа 2026 года. Источники подтверждают существование и методологию Mystery Shopping, подход к анализу клиентского пути и отдельные налоговые/правовые ориентиры. Они не подтверждают «среднюю цену аудита», среднюю маржу или конверсию продаж маленького исполнителя — эти значения в модели сценарные.</w:t>
      </w:r>
    </w:p>
    <w:p>
      <w:pPr>
        <w:pStyle w:val="ListBullet"/>
      </w:pPr>
      <w:r>
        <w:rPr>
          <w:b/>
        </w:rPr>
        <w:t xml:space="preserve">НАФИ — Mystery Shopping: </w:t>
      </w:r>
      <w:r>
        <w:t>https://nafi.ru/method/mystery-shopping-taynyy-pokupatel/</w:t>
      </w:r>
    </w:p>
    <w:p>
      <w:pPr>
        <w:pStyle w:val="ListBullet"/>
      </w:pPr>
      <w:r>
        <w:rPr>
          <w:b/>
        </w:rPr>
        <w:t xml:space="preserve">НАФИ — Сопровождаемые покупки: </w:t>
      </w:r>
      <w:r>
        <w:t>https://nafi.ru/method/soprovozhdaemye-pokupki/</w:t>
      </w:r>
    </w:p>
    <w:p>
      <w:pPr>
        <w:pStyle w:val="ListBullet"/>
      </w:pPr>
      <w:r>
        <w:rPr>
          <w:b/>
        </w:rPr>
        <w:t xml:space="preserve">НАФИ — Решения и возможности 2026: </w:t>
      </w:r>
      <w:r>
        <w:t>https://nafi.ru/upload/presentations/NAFI-2026.pdf</w:t>
      </w:r>
    </w:p>
    <w:p>
      <w:pPr>
        <w:pStyle w:val="ListBullet"/>
      </w:pPr>
      <w:r>
        <w:rPr>
          <w:b/>
        </w:rPr>
        <w:t xml:space="preserve">Mediascope — исследования «Тайный покупатель»: </w:t>
      </w:r>
      <w:r>
        <w:t>https://mediascope.net/services/marketing/practice_areas/issledovaniya_taynyy_pokupatel/</w:t>
      </w:r>
    </w:p>
    <w:p>
      <w:pPr>
        <w:pStyle w:val="ListBullet"/>
      </w:pPr>
      <w:r>
        <w:rPr>
          <w:b/>
        </w:rPr>
        <w:t xml:space="preserve">ФНС — основные правила НПД в 2026: </w:t>
      </w:r>
      <w:r>
        <w:t>https://www.nalog.gov.ru/rn25/ifns/r25_14/info/16615800/</w:t>
      </w:r>
    </w:p>
    <w:p>
      <w:pPr>
        <w:pStyle w:val="ListBullet"/>
      </w:pPr>
      <w:r>
        <w:rPr>
          <w:b/>
        </w:rPr>
        <w:t xml:space="preserve">Роскомнадзор — уведомление об обработке ПД: </w:t>
      </w:r>
      <w:r>
        <w:t>https://pd.rkn.gov.ru/operators-registry/notification/</w:t>
      </w:r>
    </w:p>
    <w:p>
      <w:pPr>
        <w:pStyle w:val="ListBullet"/>
      </w:pPr>
      <w:r>
        <w:rPr>
          <w:b/>
        </w:rPr>
        <w:t xml:space="preserve">Конституционный Суд РФ — правовая позиция по тайне переговоров: </w:t>
      </w:r>
      <w:r>
        <w:t>https://www.ksrf.ru/doc/KSRFDecision296447.pdf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6"/>
      </w:rPr>
      <w:t>Фактчек: 23.08.2026  •  Сценарные значения требуют замены фактическими данными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5B6573"/>
        <w:sz w:val="16"/>
      </w:rPr>
      <w:t>БИЗНЕС ПОД МИКРОСКОПОМ  •  БИЗНЕС-МОДЕЛИ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43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C7A4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43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