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jc w:val="left"/>
      </w:pPr>
      <w:r>
        <w:t>БИЗНЕС-СРЕДА</w:t>
      </w:r>
    </w:p>
    <w:p>
      <w:pPr>
        <w:pStyle w:val="Title"/>
        <w:jc w:val="left"/>
      </w:pPr>
      <w:r>
        <w:t>Автоштрафы по данным «Честного знака» с 1 сентября 2026 года</w:t>
      </w:r>
    </w:p>
    <w:p>
      <w:r>
        <w:rPr>
          <w:i/>
          <w:color w:val="697181"/>
          <w:sz w:val="22"/>
        </w:rPr>
        <w:t>Профессиональное разъяснение изменения, состава рисков и плана готовности для розницы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cantSplit/>
        </w:trPr>
        <w:tc>
          <w:tcPr>
            <w:tcW w:type="dxa" w:w="223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Статус</w:t>
            </w:r>
          </w:p>
        </w:tc>
        <w:tc>
          <w:tcPr>
            <w:tcW w:type="dxa" w:w="82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Федеральный закон № 120-ФЗ подписан и официально опубликован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Дата вступления</w:t>
            </w:r>
          </w:p>
        </w:tc>
        <w:tc>
          <w:tcPr>
            <w:tcW w:type="dxa" w:w="82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1 сентября 2026 года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Срочность</w:t>
            </w:r>
          </w:p>
        </w:tc>
        <w:tc>
          <w:tcPr>
            <w:tcW w:type="dxa" w:w="82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🔴 Высокая: до запуска осталось меньше недели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Ключевой смысл</w:t>
            </w:r>
          </w:p>
        </w:tc>
        <w:tc>
          <w:tcPr>
            <w:tcW w:type="dxa" w:w="82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По отдельным составам сведения ГИС МТ становятся самостоятельным основанием для административного производства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Вердикт редакции</w:t>
            </w:r>
          </w:p>
        </w:tc>
        <w:tc>
          <w:tcPr>
            <w:tcW w:type="dxa" w:w="82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ПУБЛИКОВАТЬ отдельным материалом «Бизнес-среды»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FF2CC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</w:tcBorders>
          </w:tcPr>
          <w:p>
            <w:r>
              <w:rPr>
                <w:b/>
                <w:color w:val="0E1E35"/>
                <w:sz w:val="18"/>
              </w:rPr>
              <w:t>ГЛАВНОЕ</w:t>
            </w:r>
          </w:p>
          <w:p>
            <w:pPr>
              <w:pStyle w:val="Callout"/>
              <w:spacing w:after="40"/>
            </w:pPr>
            <w:r>
              <w:t>Это не «штраф от кассы» и не автоматическое списание денег системой. ГИС МТ фиксирует данные о конкретных нарушениях; по предусмотренным 120-ФЗ составам это позволяет возбудить и рассмотреть дело в специальном автоматизированном порядке. Сам состав правонарушения всё равно должен соответствовать КоАП.</w:t>
            </w:r>
          </w:p>
        </w:tc>
      </w:tr>
    </w:tbl>
    <w:p>
      <w:pPr>
        <w:spacing w:after="0"/>
      </w:pPr>
    </w:p>
    <w:p>
      <w:pPr>
        <w:pStyle w:val="Heading1"/>
      </w:pPr>
      <w:r>
        <w:t>1. Что именно меняется</w:t>
      </w:r>
    </w:p>
    <w:p>
      <w:pPr>
        <w:pStyle w:val="ListBullet"/>
        <w:ind w:left="259" w:hanging="173"/>
      </w:pPr>
      <w:r>
        <w:t>С 1 сентября 2026 года Федеральный закон от 02.05.2026 № 120-ФЗ вводит новые составы и специальный процесс рассмотрения отдельных нарушений в обороте маркированных товаров.</w:t>
      </w:r>
    </w:p>
    <w:p>
      <w:pPr>
        <w:pStyle w:val="ListBullet"/>
        <w:ind w:left="259" w:hanging="173"/>
      </w:pPr>
      <w:r>
        <w:t>Фиксация предусмотренного законом нарушения с использованием ГИС МТ становится самостоятельным поводом к возбуждению дела.</w:t>
      </w:r>
    </w:p>
    <w:p>
      <w:pPr>
        <w:pStyle w:val="ListBullet"/>
        <w:ind w:left="259" w:hanging="173"/>
      </w:pPr>
      <w:r>
        <w:t>Если нарушение зафиксировано системой, протокол об административном правонарушении не составляется; постановление может быть вынесено без участия ИП или организации.</w:t>
      </w:r>
    </w:p>
    <w:p>
      <w:pPr>
        <w:pStyle w:val="ListBullet"/>
        <w:ind w:left="259" w:hanging="173"/>
      </w:pPr>
      <w:r>
        <w:t>Постановление изготавливается в форме электронного документа с использованием информационной системы мониторинга. Копия постановления и материалы должны быть направлены лицу в течение трёх дней со дня вынесения.</w:t>
      </w:r>
    </w:p>
    <w:p>
      <w:pPr>
        <w:pStyle w:val="ListBullet"/>
        <w:ind w:left="259" w:hanging="173"/>
      </w:pPr>
      <w:r>
        <w:t>Это повышает практическую цену корректной интеграции кассы, разрешительного режима, данных о сроках годности и регистрации в ГИС МТ: ошибку или обход запрета сложнее «перехватить» до административного производства.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6DDDD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</w:tcBorders>
          </w:tcPr>
          <w:p>
            <w:r>
              <w:rPr>
                <w:b/>
                <w:color w:val="0E1E35"/>
                <w:sz w:val="18"/>
              </w:rPr>
              <w:t>КРИТИЧЕСКОЕ УТОЧНЕНИЕ ПО СРОКАМ</w:t>
            </w:r>
          </w:p>
          <w:p>
            <w:pPr>
              <w:pStyle w:val="Callout"/>
              <w:spacing w:after="40"/>
            </w:pPr>
            <w:r>
              <w:t>Три дня — это срок направления копии постановления и материалов после его вынесения. Это НЕ срок обжалования. Общий срок подачи жалобы на постановление по КоАП — 10 дней со дня вручения или получения копии. Для постановлений, зафиксированных ГИС МТ, жалоба в вышестоящий орган или вышестоящему должностному лицу подаётся в электронном виде.</w:t>
            </w:r>
          </w:p>
        </w:tc>
      </w:tr>
    </w:tbl>
    <w:p>
      <w:pPr>
        <w:spacing w:after="0"/>
      </w:pPr>
    </w:p>
    <w:p>
      <w:pPr>
        <w:pStyle w:val="Heading1"/>
      </w:pPr>
      <w:r>
        <w:t>2. За какие нарушения возникает новый риск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rPr>
          <w:cantSplit/>
          <w:tblHeader w:val="true"/>
        </w:trPr>
        <w:tc>
          <w:tcPr>
            <w:tcW w:type="dxa" w:w="194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Нарушение</w:t>
            </w:r>
          </w:p>
        </w:tc>
        <w:tc>
          <w:tcPr>
            <w:tcW w:type="dxa" w:w="17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Кого касается</w:t>
            </w:r>
          </w:p>
        </w:tc>
        <w:tc>
          <w:tcPr>
            <w:tcW w:type="dxa" w:w="244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Условие фиксации</w:t>
            </w:r>
          </w:p>
        </w:tc>
        <w:tc>
          <w:tcPr>
            <w:tcW w:type="dxa" w:w="165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Порог</w:t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Штраф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КоАП с 01.09.2026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Продажа просроченного маркированного товара после системного запрета</w:t>
            </w:r>
          </w:p>
        </w:tc>
        <w:tc>
          <w:tcPr>
            <w:tcW w:type="dxa" w:w="17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ИП и юрлица, продающие маркированные товары со сроком годности</w:t>
            </w:r>
          </w:p>
        </w:tc>
        <w:tc>
          <w:tcPr>
            <w:tcW w:type="dxa" w:w="244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ГИС МТ сообщает о запрете продажи из-за истёкшего срока, но товар всё равно продаётся</w:t>
            </w:r>
          </w:p>
        </w:tc>
        <w:tc>
          <w:tcPr>
            <w:tcW w:type="dxa" w:w="165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За каждую проданную единицу</w:t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10 000 ₽ для ИП; 20 000 ₽ для юрлица за единицу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ч. 4 ст. 14.43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Продажа табачной продукции ниже МРЦ / никотинсодержащей продукции ниже минимальной цены после запрета</w:t>
            </w:r>
          </w:p>
        </w:tc>
        <w:tc>
          <w:tcPr>
            <w:tcW w:type="dxa" w:w="17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ИП и юрлица розницы табачной/никотинсодержащей продукции</w:t>
            </w:r>
          </w:p>
        </w:tc>
        <w:tc>
          <w:tcPr>
            <w:tcW w:type="dxa" w:w="244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После получения информации о запрете из ГИС МТ</w:t>
            </w:r>
          </w:p>
        </w:tc>
        <w:tc>
          <w:tcPr>
            <w:tcW w:type="dxa" w:w="165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≤100 / 101–1000 / &gt;1000 единиц в одном объекте за день</w:t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5 000 / 50 000 / 500 000 ₽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ч. 6–8 ст. 14.3.1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Продажа табачной продукции выше максимальной розничной цены после запрета</w:t>
            </w:r>
          </w:p>
        </w:tc>
        <w:tc>
          <w:tcPr>
            <w:tcW w:type="dxa" w:w="17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ИП и юрлица розницы табачной продукции</w:t>
            </w:r>
          </w:p>
        </w:tc>
        <w:tc>
          <w:tcPr>
            <w:tcW w:type="dxa" w:w="244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После получения информации о запрете из ГИС МТ</w:t>
            </w:r>
          </w:p>
        </w:tc>
        <w:tc>
          <w:tcPr>
            <w:tcW w:type="dxa" w:w="165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≤100 / 101–1000 / &gt;1000 единиц в одном объекте за день</w:t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5 000 / 50 000 / 500 000 ₽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ч. 4–6 ст. 14.6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Продажа табачной / никотинсодержащей продукции или устройств без требуемой регистрации в ГИС МТ</w:t>
            </w:r>
          </w:p>
        </w:tc>
        <w:tc>
          <w:tcPr>
            <w:tcW w:type="dxa" w:w="17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Лицо, которое обязано быть зарегистрировано для такой продажи и передачи сведений через ККТ</w:t>
            </w:r>
          </w:p>
        </w:tc>
        <w:tc>
          <w:tcPr>
            <w:tcW w:type="dxa" w:w="244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Продажи при отсутствии обязательной регистрации</w:t>
            </w:r>
          </w:p>
        </w:tc>
        <w:tc>
          <w:tcPr>
            <w:tcW w:type="dxa" w:w="165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Более 10 единиц через одну ККТ за календарный месяц</w:t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50 000 ₽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ст. 15.12.2</w:t>
            </w:r>
          </w:p>
        </w:tc>
      </w:tr>
    </w:tbl>
    <w:p>
      <w:pPr>
        <w:pStyle w:val="Heading1"/>
      </w:pPr>
      <w:r>
        <w:t>3. Что новый закон НЕ означает</w:t>
      </w:r>
    </w:p>
    <w:p>
      <w:pPr>
        <w:pStyle w:val="ListBullet"/>
        <w:ind w:left="259" w:hanging="173"/>
      </w:pPr>
      <w:r>
        <w:t>Не любое расхождение в «Честном знаке» автоматически образует один из перечисленных составов. Для штрафа должно быть событие, описанное соответствующей нормой КоАП.</w:t>
      </w:r>
    </w:p>
    <w:p>
      <w:pPr>
        <w:pStyle w:val="ListBullet"/>
        <w:ind w:left="259" w:hanging="173"/>
      </w:pPr>
      <w:r>
        <w:t>Не каждая товарная группа получает одинаковый набор автоштрафов. Специальный штраф 50 000 ₽ за отсутствие регистрации относится к табачной, никотинсодержащей продукции и устройствам для её потребления при установленном пороге продаж.</w:t>
      </w:r>
    </w:p>
    <w:p>
      <w:pPr>
        <w:pStyle w:val="ListBullet"/>
        <w:ind w:left="259" w:hanging="173"/>
      </w:pPr>
      <w:r>
        <w:t>Для просроченного товара ключевое условие нормы — продажа после получения информации о запрете из системы мониторинга. Поэтому важно сохранять логи запроса/ответа кассы и действия кассира.</w:t>
      </w:r>
    </w:p>
    <w:p>
      <w:pPr>
        <w:pStyle w:val="ListBullet"/>
        <w:ind w:left="259" w:hanging="173"/>
      </w:pPr>
      <w:r>
        <w:t>«Автоштраф» не отменяет право на обжалование. Но процесс становится цифровым и быстрым, поэтому доказательства нужно собирать сразу, а не после потери журналов и логов.</w:t>
      </w:r>
    </w:p>
    <w:p>
      <w:pPr>
        <w:pStyle w:val="Heading1"/>
      </w:pPr>
      <w:r>
        <w:t>4. Кого проверить в первую очередь</w:t>
      </w:r>
    </w:p>
    <w:p>
      <w:pPr>
        <w:pStyle w:val="ListBullet"/>
        <w:ind w:left="259" w:hanging="173"/>
      </w:pPr>
      <w:r>
        <w:t>Розницу, которая продаёт маркированные товары со сроком годности и уже работает в разрешительном режиме.</w:t>
      </w:r>
    </w:p>
    <w:p>
      <w:pPr>
        <w:pStyle w:val="ListBullet"/>
        <w:ind w:left="259" w:hanging="173"/>
      </w:pPr>
      <w:r>
        <w:t>Табачную и никотинсодержащую розницу — отдельно по ценовым запретам, регистрации в ГИС МТ и накоплению количества продаж по одной ККТ.</w:t>
      </w:r>
    </w:p>
    <w:p>
      <w:pPr>
        <w:pStyle w:val="ListBullet"/>
        <w:ind w:left="259" w:hanging="173"/>
      </w:pPr>
      <w:r>
        <w:t>Сети и бизнес с несколькими кассами, где настройки, версии ПО и дисциплина персонала могут различаться по точкам.</w:t>
      </w:r>
    </w:p>
    <w:p>
      <w:pPr>
        <w:pStyle w:val="ListBullet"/>
        <w:ind w:left="259" w:hanging="173"/>
      </w:pPr>
      <w:r>
        <w:t>Интернет-магазины и другие продавцы, которые самостоятельно формируют кассовые чеки по маркированным товарам: проверить, что кассовый сценарий действительно проходит требуемую проверку кода.</w:t>
      </w:r>
    </w:p>
    <w:p>
      <w:pPr>
        <w:pStyle w:val="Heading1"/>
      </w:pPr>
      <w:r>
        <w:t>5. План готовности до 1 сентября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rPr>
          <w:cantSplit/>
          <w:tblHeader w:val="true"/>
        </w:trPr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Зона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302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Критерий готовности</w:t>
            </w:r>
          </w:p>
        </w:tc>
        <w:tc>
          <w:tcPr>
            <w:tcW w:type="dxa" w:w="187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Ответственный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Срок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ККТ и ПО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Версия кассового ПО, разрешительный онлайн/офлайн режим, обработка ответа «продажа запрещена»</w:t>
            </w:r>
          </w:p>
        </w:tc>
        <w:tc>
          <w:tcPr>
            <w:tcW w:type="dxa" w:w="302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Запрещённый товар технически нельзя пробить обычным кассовым сценарием</w:t>
            </w:r>
          </w:p>
        </w:tc>
        <w:tc>
          <w:tcPr>
            <w:tcW w:type="dxa" w:w="187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ИТ / кассовый подрядчик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До 28.08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Срок годности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Данные при приёмке, FEFO/контроль остатков, тестовые продажи просроченного/пограничного кода в безопасной среде</w:t>
            </w:r>
          </w:p>
        </w:tc>
        <w:tc>
          <w:tcPr>
            <w:tcW w:type="dxa" w:w="302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Просрочка выявляется до кассы; касса блокирует продажу при запрете</w:t>
            </w:r>
          </w:p>
        </w:tc>
        <w:tc>
          <w:tcPr>
            <w:tcW w:type="dxa" w:w="187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Товаровед / руководитель точки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До 29.08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ГИС МТ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Регистрация, роли, доступы, уведомления, корректная передача данных</w:t>
            </w:r>
          </w:p>
        </w:tc>
        <w:tc>
          <w:tcPr>
            <w:tcW w:type="dxa" w:w="302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Есть действующий доступ и ответственный за ежедневный мониторинг</w:t>
            </w:r>
          </w:p>
        </w:tc>
        <w:tc>
          <w:tcPr>
            <w:tcW w:type="dxa" w:w="187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Владелец / маркировка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До 28.08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Табак/никотин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МРЦ/минимальная цена, правила кассового контроля, регистрация продавца</w:t>
            </w:r>
          </w:p>
        </w:tc>
        <w:tc>
          <w:tcPr>
            <w:tcW w:type="dxa" w:w="302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Цена и регистрация проверяются автоматически; исключён ручной обход</w:t>
            </w:r>
          </w:p>
        </w:tc>
        <w:tc>
          <w:tcPr>
            <w:tcW w:type="dxa" w:w="187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Руководитель / бухгалтер / ИТ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До 29.08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Персонал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Инструктаж по запретам и эскалации</w:t>
            </w:r>
          </w:p>
        </w:tc>
        <w:tc>
          <w:tcPr>
            <w:tcW w:type="dxa" w:w="302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Кассир знает: запрет нельзя обходить; при сбое — стоп продажи и обращение ответственному</w:t>
            </w:r>
          </w:p>
        </w:tc>
        <w:tc>
          <w:tcPr>
            <w:tcW w:type="dxa" w:w="187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Руководитель точки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До 30.08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Мониторинг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Проверка кабинета ГИС МТ и системных сообщений</w:t>
            </w:r>
          </w:p>
        </w:tc>
        <w:tc>
          <w:tcPr>
            <w:tcW w:type="dxa" w:w="302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Сообщения проверяются ежедневно; есть журнал инцидентов</w:t>
            </w:r>
          </w:p>
        </w:tc>
        <w:tc>
          <w:tcPr>
            <w:tcW w:type="dxa" w:w="187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Ответственный по маркировке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С 26.08 ежедневно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Доказательства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Логи ККТ/ТС ПИоТ/локального модуля, чеки, скриншоты, версии ПО</w:t>
            </w:r>
          </w:p>
        </w:tc>
        <w:tc>
          <w:tcPr>
            <w:tcW w:type="dxa" w:w="302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Данные доступны минимум на период потенциального обжалования и внутреннего расследования</w:t>
            </w:r>
          </w:p>
        </w:tc>
        <w:tc>
          <w:tcPr>
            <w:tcW w:type="dxa" w:w="187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ИТ / юрист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До 30.08</w:t>
            </w:r>
          </w:p>
        </w:tc>
      </w:tr>
    </w:tbl>
    <w:p>
      <w:pPr>
        <w:pStyle w:val="Heading1"/>
      </w:pPr>
      <w:r>
        <w:t>6. Если система уже показывает нарушение или пришло постановление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cantSplit/>
          <w:tblHeader w:val="true"/>
        </w:trPr>
        <w:tc>
          <w:tcPr>
            <w:tcW w:type="dxa" w:w="79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Шаг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Действие</w:t>
            </w:r>
          </w:p>
        </w:tc>
        <w:tc>
          <w:tcPr>
            <w:tcW w:type="dxa" w:w="66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Что делать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Немедленно остановить повторяемый сценарий</w:t>
            </w:r>
          </w:p>
        </w:tc>
        <w:tc>
          <w:tcPr>
            <w:tcW w:type="dxa" w:w="66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Заблокировать продажу проблемного SKU/партии/ценового сценария до выяснения причины.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Зафиксировать цифровые доказательства</w:t>
            </w:r>
          </w:p>
        </w:tc>
        <w:tc>
          <w:tcPr>
            <w:tcW w:type="dxa" w:w="66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Код маркировки, чек/фискальный признак, дата и время, касса, точка, версия ПО, ответ системы, логи ТС ПИоТ/локального модуля, действия кассира.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Проверить событие по составу КоАП</w:t>
            </w:r>
          </w:p>
        </w:tc>
        <w:tc>
          <w:tcPr>
            <w:tcW w:type="dxa" w:w="66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Была ли именно продажа после запрета? Какой товар? Какая цена? Была ли обязательна регистрация? Как считался порог единиц?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Устранить первопричину</w:t>
            </w:r>
          </w:p>
        </w:tc>
        <w:tc>
          <w:tcPr>
            <w:tcW w:type="dxa" w:w="66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Настройка кассы, справочник цены, данные срока годности, доступ ГИС МТ, обучение сотрудника.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Собрать пакет на обжалование, если есть основания</w:t>
            </w:r>
          </w:p>
        </w:tc>
        <w:tc>
          <w:tcPr>
            <w:tcW w:type="dxa" w:w="66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Постановление, материалы системы, логи, чеки, документы на товар, версия ПО, переписка с техподдержкой, внутренний акт инцидента.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288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Контролировать срок</w:t>
            </w:r>
          </w:p>
        </w:tc>
        <w:tc>
          <w:tcPr>
            <w:tcW w:type="dxa" w:w="66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  <w:t>Ориентир по ст. 30.3 КоАП: 10 дней с даты вручения/получения копии постановления; при выборе вышестоящего органа/должностного лица жалоба по этим делам — в электронном виде.</w:t>
            </w:r>
          </w:p>
        </w:tc>
      </w:tr>
    </w:tbl>
    <w:p>
      <w:pPr>
        <w:pStyle w:val="Heading1"/>
      </w:pPr>
      <w:r>
        <w:t>7. Минимальный пакет доказательств для внутреннего инцидента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ИНН/юрлицо/ИП, торговая точка, номер ККТ, кассовое ПО и версия.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GTIN/код маркировки, товар, партия, срок годности или ценовой параметр, который стал основанием запрета.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Дата/время сканирования и продажи; кассовый чек и фискальные реквизиты.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Запрос кассы в систему и полученный статус/код ответа; при офлайн-режиме — версия локальной базы и время её обновления.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Скриншоты/уведомления личного кабинета ГИС МТ.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Действия кассира и руководителя; внутренний акт, если был сбой или обход стандартного сценария.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Переписка с поставщиком кассового ПО, ОФД, ЦРПТ/поддержкой, если спор связан с технической интеграцией.</w:t>
      </w:r>
    </w:p>
    <w:p>
      <w:pPr>
        <w:pStyle w:val="Heading1"/>
      </w:pPr>
      <w:r>
        <w:t>8. Редакционная конструкция будущей статьи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</w:tcBorders>
          </w:tcPr>
          <w:p>
            <w:r>
              <w:rPr>
                <w:b/>
                <w:color w:val="0E1E35"/>
                <w:sz w:val="18"/>
              </w:rPr>
              <w:t>РЕКОМЕНДУЕМЫЙ ЗАГОЛОВОК</w:t>
            </w:r>
          </w:p>
          <w:p>
            <w:pPr>
              <w:pStyle w:val="Callout"/>
              <w:spacing w:after="40"/>
            </w:pPr>
            <w:r>
              <w:t>«Автоштрафы по данным „Честного знака“ с 1 сентября 2026 года: за что оштрафуют и что проверить рознице»</w:t>
            </w:r>
          </w:p>
        </w:tc>
      </w:tr>
    </w:tbl>
    <w:p>
      <w:pPr>
        <w:spacing w:after="0"/>
      </w:pPr>
    </w:p>
    <w:p>
      <w:pPr>
        <w:pStyle w:val="ListBullet"/>
        <w:ind w:left="259" w:hanging="173"/>
      </w:pPr>
      <w:r>
        <w:t>Первый экран: 1 сентября / без протокола / электронное постановление / штраф до 500 000 ₽ или поштучно за просрочку.</w:t>
      </w:r>
    </w:p>
    <w:p>
      <w:pPr>
        <w:pStyle w:val="ListBullet"/>
        <w:ind w:left="259" w:hanging="173"/>
      </w:pPr>
      <w:r>
        <w:t>Блок «Кого касается» — не общими словами, а четырьмя конкретными сценариями из КоАП.</w:t>
      </w:r>
    </w:p>
    <w:p>
      <w:pPr>
        <w:pStyle w:val="ListBullet"/>
        <w:ind w:left="259" w:hanging="173"/>
      </w:pPr>
      <w:r>
        <w:t>Таблица «нарушение → условие → порог → штраф → статья КоАП».</w:t>
      </w:r>
    </w:p>
    <w:p>
      <w:pPr>
        <w:pStyle w:val="ListBullet"/>
        <w:ind w:left="259" w:hanging="173"/>
      </w:pPr>
      <w:r>
        <w:t>Раздел «3 дня ≠ срок обжалования»: три дня — направление постановления; общий срок жалобы — 10 дней.</w:t>
      </w:r>
    </w:p>
    <w:p>
      <w:pPr>
        <w:pStyle w:val="ListBullet"/>
        <w:ind w:left="259" w:hanging="173"/>
      </w:pPr>
      <w:r>
        <w:t>Практический checklist до 1 сентября и incident playbook после получения сигнала.</w:t>
      </w:r>
    </w:p>
    <w:p>
      <w:pPr>
        <w:pStyle w:val="ListBullet"/>
        <w:ind w:left="259" w:hanging="173"/>
      </w:pPr>
      <w:r>
        <w:t>Ссылка из старой статьи о маркировке на новый материал и обратная ссылка на базовое объяснение маркировки.</w:t>
      </w:r>
    </w:p>
    <w:p>
      <w:pPr>
        <w:pStyle w:val="Heading1"/>
      </w:pPr>
      <w:r>
        <w:t>9. Источники</w:t>
      </w:r>
    </w:p>
    <w:p>
      <w:pPr>
        <w:spacing w:after="20" w:line="240" w:lineRule="auto"/>
      </w:pPr>
      <w:r>
        <w:rPr>
          <w:sz w:val="16"/>
        </w:rPr>
        <w:t xml:space="preserve">• Официальный интернет-портал правовой информации — ФЗ №120-ФЗ от 02.05.2026: </w:t>
      </w:r>
      <w:hyperlink r:id="rId11">
        <w:r>
          <w:rPr>
            <w:color w:val="0E1E35"/>
            <w:u w:val="single"/>
          </w:rPr>
          <w:t>https://publication.pravo.gov.ru/document/0001202605020005</w:t>
        </w:r>
      </w:hyperlink>
    </w:p>
    <w:p>
      <w:pPr>
        <w:spacing w:after="20" w:line="240" w:lineRule="auto"/>
      </w:pPr>
      <w:r>
        <w:rPr>
          <w:sz w:val="16"/>
        </w:rPr>
        <w:t xml:space="preserve">• Роспотребнадзор — федеральное разъяснение об автоштрафах, 05.08.2026: </w:t>
      </w:r>
      <w:hyperlink r:id="rId12">
        <w:r>
          <w:rPr>
            <w:color w:val="0E1E35"/>
            <w:u w:val="single"/>
          </w:rPr>
          <w:t>https://zpp.rospotrebnadzor.ru/news/federal/576100</w:t>
        </w:r>
      </w:hyperlink>
    </w:p>
    <w:p>
      <w:pPr>
        <w:spacing w:after="20" w:line="240" w:lineRule="auto"/>
      </w:pPr>
      <w:r>
        <w:rPr>
          <w:sz w:val="16"/>
        </w:rPr>
        <w:t xml:space="preserve">• Роспотребнадзор — пилот и рекомендации бизнесу перед 01.09.2026: </w:t>
      </w:r>
      <w:hyperlink r:id="rId13">
        <w:r>
          <w:rPr>
            <w:color w:val="0E1E35"/>
            <w:u w:val="single"/>
          </w:rPr>
          <w:t>https://pda.04.rospotrebnadzor.ru/index.php/otdel-zpp/org/20760--1-2026-.html</w:t>
        </w:r>
      </w:hyperlink>
    </w:p>
    <w:p>
      <w:pPr>
        <w:spacing w:after="20" w:line="240" w:lineRule="auto"/>
      </w:pPr>
      <w:r>
        <w:rPr>
          <w:sz w:val="16"/>
        </w:rPr>
        <w:t xml:space="preserve">• Роспотребнадзор — разрешительный режим на кассах, 03.03.2026: </w:t>
      </w:r>
      <w:hyperlink r:id="rId14">
        <w:r>
          <w:rPr>
            <w:color w:val="0E1E35"/>
            <w:u w:val="single"/>
          </w:rPr>
          <w:t>https://zpp.rospotrebnadzor.ru/news/federal/571848</w:t>
        </w:r>
      </w:hyperlink>
    </w:p>
    <w:p>
      <w:pPr>
        <w:spacing w:after="20" w:line="240" w:lineRule="auto"/>
      </w:pPr>
      <w:r>
        <w:rPr>
          <w:sz w:val="16"/>
        </w:rPr>
        <w:t xml:space="preserve">• КоАП РФ, ст. 30.3 — срок обжалования постановления: </w:t>
      </w:r>
      <w:hyperlink r:id="rId15">
        <w:r>
          <w:rPr>
            <w:color w:val="0E1E35"/>
            <w:u w:val="single"/>
          </w:rPr>
          <w:t>https://www.consultant.ru/document/cons_doc_LAW_34661/9ae21ddd95d2541114102cce9c92efe6fc637266/</w:t>
        </w:r>
      </w:hyperlink>
    </w:p>
    <w:p>
      <w:r>
        <w:rPr>
          <w:b/>
        </w:rPr>
        <w:t xml:space="preserve">Ограничение использования: </w:t>
      </w:r>
      <w:r>
        <w:t>материал описывает федеральные правила на дату фактчека. Конкретную товарную группу, дату обязательного разрешительного режима и техническую схему кассы нужно сверять по применимым правилам маркировки и конфигурации продавца.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jc w:val="center"/>
    </w:pPr>
    <w:r>
      <w:t>Фактчек: 26 августа 2026  •  Информационный материал, не индивидуальная юридическая консультация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jc w:val="right"/>
    </w:pPr>
    <w:r>
      <w:t>БИЗНЕС ПОД МИКРОСКОПОМ  •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E1E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E1E3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E1E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3976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E1E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Arial" w:hAnsi="Arial"/>
      <w:b/>
      <w:color w:val="B3976A"/>
      <w:sz w:val="16"/>
    </w:rPr>
  </w:style>
  <w:style w:type="paragraph" w:customStyle="1" w:styleId="Callout">
    <w:name w:val="Callout"/>
    <w:pPr>
      <w:ind w:left="259" w:right="259"/>
    </w:pPr>
    <w:rPr>
      <w:rFonts w:ascii="Arial" w:hAnsi="Arial"/>
      <w:color w:val="0E1E3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publication.pravo.gov.ru/document/0001202605020005" TargetMode="External"/><Relationship Id="rId12" Type="http://schemas.openxmlformats.org/officeDocument/2006/relationships/hyperlink" Target="https://zpp.rospotrebnadzor.ru/news/federal/576100" TargetMode="External"/><Relationship Id="rId13" Type="http://schemas.openxmlformats.org/officeDocument/2006/relationships/hyperlink" Target="https://pda.04.rospotrebnadzor.ru/index.php/otdel-zpp/org/20760--1-2026-.html" TargetMode="External"/><Relationship Id="rId14" Type="http://schemas.openxmlformats.org/officeDocument/2006/relationships/hyperlink" Target="https://zpp.rospotrebnadzor.ru/news/federal/571848" TargetMode="External"/><Relationship Id="rId15" Type="http://schemas.openxmlformats.org/officeDocument/2006/relationships/hyperlink" Target="https://www.consultant.ru/document/cons_doc_LAW_34661/9ae21ddd95d2541114102cce9c92efe6fc63726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