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b/>
          <w:color w:val="C99A42"/>
          <w:sz w:val="18"/>
        </w:rPr>
        <w:t>РАБОЧАЯ КАРТА</w:t>
      </w:r>
    </w:p>
    <w:p>
      <w:pPr>
        <w:pStyle w:val="Title"/>
      </w:pPr>
      <w:r>
        <w:t>Карта обязанности и торговых точек</w:t>
      </w:r>
    </w:p>
    <w:p>
      <w:r>
        <w:t>Заполняемый алгоритм для определения действующей обязанности, следующего срока и исключений по каждой точке. Актуализировано после 1 сентября 2026 года.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FEAE0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Заполняйте по одному юридическому лицу, затем проходите каждую торговую точку отдельно.</w:t>
            </w:r>
          </w:p>
        </w:tc>
      </w:tr>
    </w:tbl>
    <w:p>
      <w:r/>
    </w:p>
    <w:p>
      <w:pPr>
        <w:pStyle w:val="Heading1"/>
      </w:pPr>
      <w:r>
        <w:t>A. Компания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168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Вопрос</w:t>
            </w:r>
          </w:p>
        </w:tc>
        <w:tc>
          <w:tcPr>
            <w:tcW w:type="dxa" w:w="2160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Ответ</w:t>
            </w:r>
          </w:p>
        </w:tc>
        <w:tc>
          <w:tcPr>
            <w:tcW w:type="dxa" w:w="4320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Как трактовать</w:t>
            </w:r>
          </w:p>
        </w:tc>
      </w:tr>
      <w:tr>
        <w:tc>
          <w:tcPr>
            <w:tcW w:type="dxa" w:w="316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Продаем гражданам для личных нужд?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□ Да   □ Нет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Если нет — потребительская обязанность приема не возникает.</w:t>
            </w:r>
          </w:p>
        </w:tc>
      </w:tr>
      <w:tr>
        <w:tc>
          <w:tcPr>
            <w:tcW w:type="dxa" w:w="316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Выручка за 2025 год, ₽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________________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Для этапа 2026 — свыше 120 млн ₽.</w:t>
            </w:r>
          </w:p>
        </w:tc>
      </w:tr>
      <w:tr>
        <w:tc>
          <w:tcPr>
            <w:tcW w:type="dxa" w:w="316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Был договор приема электронных средств платежа на 01.01.2026?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□ Да   □ Нет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Найдите договор/эквайринг, а не только банковский счет.</w:t>
            </w:r>
          </w:p>
        </w:tc>
      </w:tr>
      <w:tr>
        <w:tc>
          <w:tcPr>
            <w:tcW w:type="dxa" w:w="316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Банк по договору был значимым на рынке платежных услуг на 01.01.2026?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□ Да   □ Нет   □ Не знаю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Для этапа 2026 это контрольное условие.</w:t>
            </w:r>
          </w:p>
        </w:tc>
      </w:tr>
      <w:tr>
        <w:tc>
          <w:tcPr>
            <w:tcW w:type="dxa" w:w="316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Форма бизнеса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□ ООО/АО   □ ИП   □ иное</w:t>
            </w:r>
          </w:p>
        </w:tc>
        <w:tc>
          <w:tcPr>
            <w:tcW w:type="dxa" w:w="43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Для ИП на 06.09.2026 Банк России указывает более позднюю доступность приема.</w:t>
            </w:r>
          </w:p>
        </w:tc>
      </w:tr>
    </w:tbl>
    <w:p>
      <w:pPr>
        <w:pStyle w:val="Heading1"/>
      </w:pPr>
      <w:r>
        <w:t>B. Предварительный статус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4032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Условие</w:t>
            </w:r>
          </w:p>
        </w:tc>
        <w:tc>
          <w:tcPr>
            <w:tcW w:type="dxa" w:w="2160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Статус</w:t>
            </w:r>
          </w:p>
        </w:tc>
        <w:tc>
          <w:tcPr>
            <w:tcW w:type="dxa" w:w="3600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Действие</w:t>
            </w:r>
          </w:p>
        </w:tc>
      </w:tr>
      <w:tr>
        <w:tc>
          <w:tcPr>
            <w:tcW w:type="dxa" w:w="403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Выручка &gt;120 млн ₽ + B2C + банковское условие 01.01.2026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ОБЯЗАННОСТЬ УЖЕ ДЕЙСТВУЕТ</w:t>
            </w:r>
          </w:p>
        </w:tc>
        <w:tc>
          <w:tcPr>
            <w:tcW w:type="dxa" w:w="360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Проверить точки; если прием не работает — закрыть подключение и тестирование сейчас.</w:t>
            </w:r>
          </w:p>
        </w:tc>
      </w:tr>
      <w:tr>
        <w:tc>
          <w:tcPr>
            <w:tcW w:type="dxa" w:w="403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Не попали в 2026, но выручка &gt;30 млн ₽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ГОТОВИТЬСЯ К 2027</w:t>
            </w:r>
          </w:p>
        </w:tc>
        <w:tc>
          <w:tcPr>
            <w:tcW w:type="dxa" w:w="360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Проверить условия этапа 2027 и совместимость текущей инфраструктуры.</w:t>
            </w:r>
          </w:p>
        </w:tc>
      </w:tr>
      <w:tr>
        <w:tc>
          <w:tcPr>
            <w:tcW w:type="dxa" w:w="403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Выручка 20–30 млн ₽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ГОТОВИТЬСЯ К 2028</w:t>
            </w:r>
          </w:p>
        </w:tc>
        <w:tc>
          <w:tcPr>
            <w:tcW w:type="dxa" w:w="360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Контролировать порог и точки.</w:t>
            </w:r>
          </w:p>
        </w:tc>
      </w:tr>
      <w:tr>
        <w:tc>
          <w:tcPr>
            <w:tcW w:type="dxa" w:w="403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Совокупная выручка &lt;20 млн ₽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НЕТ ОБЯЗАННОСТИ ПО ТЕКУЩЕМУ ПОРОГУ</w:t>
            </w:r>
          </w:p>
        </w:tc>
        <w:tc>
          <w:tcPr>
            <w:tcW w:type="dxa" w:w="360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Продолжать мониторинг изменений.</w:t>
            </w:r>
          </w:p>
        </w:tc>
      </w:tr>
      <w:tr>
        <w:tc>
          <w:tcPr>
            <w:tcW w:type="dxa" w:w="403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Не хватает данных / ИП / подписка / спорный договор / технический разрыв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УТОЧНИТЬ</w:t>
            </w:r>
          </w:p>
        </w:tc>
        <w:tc>
          <w:tcPr>
            <w:tcW w:type="dxa" w:w="360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Запросить банк/юриста, не угадывать.</w:t>
            </w:r>
          </w:p>
        </w:tc>
      </w:tr>
    </w:tbl>
    <w:p>
      <w:pPr>
        <w:pStyle w:val="Heading1"/>
      </w:pPr>
      <w:r>
        <w:t>C. Карта торговых точек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576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№</w:t>
            </w:r>
          </w:p>
        </w:tc>
        <w:tc>
          <w:tcPr>
            <w:tcW w:type="dxa" w:w="2016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Точка/канал</w:t>
            </w:r>
          </w:p>
        </w:tc>
        <w:tc>
          <w:tcPr>
            <w:tcW w:type="dxa" w:w="1728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Выручка за год</w:t>
            </w:r>
          </w:p>
        </w:tc>
        <w:tc>
          <w:tcPr>
            <w:tcW w:type="dxa" w:w="1440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Интернет</w:t>
            </w:r>
          </w:p>
        </w:tc>
        <w:tc>
          <w:tcPr>
            <w:tcW w:type="dxa" w:w="2160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Канал</w:t>
            </w:r>
          </w:p>
        </w:tc>
        <w:tc>
          <w:tcPr>
            <w:tcW w:type="dxa" w:w="1728"/>
            <w:shd w:fill="1022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Статус</w:t>
            </w:r>
          </w:p>
        </w:tc>
      </w:tr>
      <w:tr>
        <w:tc>
          <w:tcPr>
            <w:tcW w:type="dxa" w:w="576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</w:t>
            </w:r>
          </w:p>
        </w:tc>
        <w:tc>
          <w:tcPr>
            <w:tcW w:type="dxa" w:w="2016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</w:t>
            </w:r>
          </w:p>
        </w:tc>
        <w:tc>
          <w:tcPr>
            <w:tcW w:type="dxa" w:w="172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</w:t>
            </w:r>
          </w:p>
        </w:tc>
        <w:tc>
          <w:tcPr>
            <w:tcW w:type="dxa" w:w="144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□ Да □ Нет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□ офлайн □ сайт □ приложение</w:t>
            </w:r>
          </w:p>
        </w:tc>
        <w:tc>
          <w:tcPr>
            <w:tcW w:type="dxa" w:w="172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</w:t>
            </w:r>
          </w:p>
        </w:tc>
      </w:tr>
      <w:tr>
        <w:tc>
          <w:tcPr>
            <w:tcW w:type="dxa" w:w="576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2</w:t>
            </w:r>
          </w:p>
        </w:tc>
        <w:tc>
          <w:tcPr>
            <w:tcW w:type="dxa" w:w="2016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________________</w:t>
            </w:r>
          </w:p>
        </w:tc>
        <w:tc>
          <w:tcPr>
            <w:tcW w:type="dxa" w:w="172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____________</w:t>
            </w:r>
          </w:p>
        </w:tc>
        <w:tc>
          <w:tcPr>
            <w:tcW w:type="dxa" w:w="144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□ Да □ Нет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□ офлайн □ сайт □ приложение</w:t>
            </w:r>
          </w:p>
        </w:tc>
        <w:tc>
          <w:tcPr>
            <w:tcW w:type="dxa" w:w="172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____________</w:t>
            </w:r>
          </w:p>
        </w:tc>
      </w:tr>
      <w:tr>
        <w:tc>
          <w:tcPr>
            <w:tcW w:type="dxa" w:w="576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3</w:t>
            </w:r>
          </w:p>
        </w:tc>
        <w:tc>
          <w:tcPr>
            <w:tcW w:type="dxa" w:w="2016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</w:t>
            </w:r>
          </w:p>
        </w:tc>
        <w:tc>
          <w:tcPr>
            <w:tcW w:type="dxa" w:w="172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</w:t>
            </w:r>
          </w:p>
        </w:tc>
        <w:tc>
          <w:tcPr>
            <w:tcW w:type="dxa" w:w="144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□ Да □ Нет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□ офлайн □ сайт □ приложение</w:t>
            </w:r>
          </w:p>
        </w:tc>
        <w:tc>
          <w:tcPr>
            <w:tcW w:type="dxa" w:w="172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</w:t>
            </w:r>
          </w:p>
        </w:tc>
      </w:tr>
      <w:tr>
        <w:tc>
          <w:tcPr>
            <w:tcW w:type="dxa" w:w="576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4</w:t>
            </w:r>
          </w:p>
        </w:tc>
        <w:tc>
          <w:tcPr>
            <w:tcW w:type="dxa" w:w="2016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________________</w:t>
            </w:r>
          </w:p>
        </w:tc>
        <w:tc>
          <w:tcPr>
            <w:tcW w:type="dxa" w:w="172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____________</w:t>
            </w:r>
          </w:p>
        </w:tc>
        <w:tc>
          <w:tcPr>
            <w:tcW w:type="dxa" w:w="144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□ Да □ Нет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□ офлайн □ сайт □ приложение</w:t>
            </w:r>
          </w:p>
        </w:tc>
        <w:tc>
          <w:tcPr>
            <w:tcW w:type="dxa" w:w="172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  <w:shd w:fill="FBF9F5"/>
          </w:tcPr>
          <w:p>
            <w:r>
              <w:t>____________</w:t>
            </w:r>
          </w:p>
        </w:tc>
      </w:tr>
      <w:tr>
        <w:tc>
          <w:tcPr>
            <w:tcW w:type="dxa" w:w="576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5</w:t>
            </w:r>
          </w:p>
        </w:tc>
        <w:tc>
          <w:tcPr>
            <w:tcW w:type="dxa" w:w="2016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</w:t>
            </w:r>
          </w:p>
        </w:tc>
        <w:tc>
          <w:tcPr>
            <w:tcW w:type="dxa" w:w="172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</w:t>
            </w:r>
          </w:p>
        </w:tc>
        <w:tc>
          <w:tcPr>
            <w:tcW w:type="dxa" w:w="144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□ Да □ Нет</w:t>
            </w:r>
          </w:p>
        </w:tc>
        <w:tc>
          <w:tcPr>
            <w:tcW w:type="dxa" w:w="2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□ офлайн □ сайт □ приложение</w:t>
            </w:r>
          </w:p>
        </w:tc>
        <w:tc>
          <w:tcPr>
            <w:tcW w:type="dxa" w:w="1728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</w:t>
            </w:r>
          </w:p>
        </w:tc>
      </w:tr>
    </w:tbl>
    <w:p>
      <w:r>
        <w:t>Правило точки: при выручке менее 5 млн ₽ за предшествующий год обязанность принимать цифровой рубль в этой точке не возникает. Отдельное исключение — место продажи без доступа к интернету.</w:t>
      </w:r>
    </w:p>
    <w:p>
      <w:pPr>
        <w:pStyle w:val="Heading1"/>
      </w:pPr>
      <w:r>
        <w:t>D. Финальная проверка</w:t>
      </w:r>
    </w:p>
    <w:p>
      <w:pPr>
        <w:ind w:left="230" w:hanging="144"/>
      </w:pPr>
      <w:r>
        <w:rPr>
          <w:b/>
        </w:rPr>
        <w:t xml:space="preserve">• </w:t>
      </w:r>
      <w:r>
        <w:t>□ По каждой точке есть подтвержденная выручка.</w:t>
      </w:r>
    </w:p>
    <w:p>
      <w:pPr>
        <w:ind w:left="230" w:hanging="144"/>
      </w:pPr>
      <w:r>
        <w:rPr>
          <w:b/>
        </w:rPr>
        <w:t xml:space="preserve">• </w:t>
      </w:r>
      <w:r>
        <w:t>□ Есть документ о банковском условии на контрольную дату.</w:t>
      </w:r>
    </w:p>
    <w:p>
      <w:pPr>
        <w:ind w:left="230" w:hanging="144"/>
      </w:pPr>
      <w:r>
        <w:rPr>
          <w:b/>
        </w:rPr>
        <w:t xml:space="preserve">• </w:t>
      </w:r>
      <w:r>
        <w:t>□ Определен банк/участник платформы для доступа к счету цифрового рубля.</w:t>
      </w:r>
    </w:p>
    <w:p>
      <w:pPr>
        <w:ind w:left="230" w:hanging="144"/>
      </w:pPr>
      <w:r>
        <w:rPr>
          <w:b/>
        </w:rPr>
        <w:t xml:space="preserve">• </w:t>
      </w:r>
      <w:r>
        <w:t>□ Отдельно проверены сайт, приложение и дистанционные каналы.</w:t>
      </w:r>
    </w:p>
    <w:p>
      <w:pPr>
        <w:ind w:left="230" w:hanging="144"/>
      </w:pPr>
      <w:r>
        <w:rPr>
          <w:b/>
        </w:rPr>
        <w:t xml:space="preserve">• </w:t>
      </w:r>
      <w:r>
        <w:t>□ Не перепутали обязанность компании и исключение конкретной точки.</w:t>
      </w:r>
    </w:p>
    <w:p>
      <w:pPr>
        <w:ind w:left="230" w:hanging="144"/>
      </w:pPr>
      <w:r>
        <w:rPr>
          <w:b/>
        </w:rPr>
        <w:t xml:space="preserve">• </w:t>
      </w:r>
      <w:r>
        <w:t>□ Спорные случаи подтверждены письменно.</w:t>
      </w:r>
    </w:p>
    <w:p>
      <w:pPr>
        <w:pStyle w:val="Heading1"/>
      </w:pPr>
      <w:r>
        <w:t>Источники</w:t>
      </w:r>
    </w:p>
    <w:p>
      <w:pPr>
        <w:pStyle w:val="Smallnote"/>
      </w:pPr>
      <w:r>
        <w:rPr>
          <w:b/>
        </w:rPr>
        <w:t xml:space="preserve">Банк России — «Прием оплаты в цифровых рублях»: </w:t>
      </w:r>
      <w:r>
        <w:t>https://www.cbr.ru/PSystem/dr/accepting_payments_dr/</w:t>
      </w:r>
    </w:p>
    <w:p>
      <w:pPr>
        <w:pStyle w:val="Smallnote"/>
      </w:pPr>
      <w:r>
        <w:rPr>
          <w:b/>
        </w:rPr>
        <w:t xml:space="preserve">Банк России — «Цифровой рубль: вопросы и ответы»: </w:t>
      </w:r>
      <w:r>
        <w:t>https://www.cbr.ru/faq/dr/</w:t>
      </w:r>
    </w:p>
    <w:p>
      <w:pPr>
        <w:pStyle w:val="Smallnote"/>
      </w:pPr>
      <w:r>
        <w:rPr>
          <w:b/>
        </w:rPr>
        <w:t xml:space="preserve">Банк России — тарифы платформы цифрового рубля: </w:t>
      </w:r>
      <w:r>
        <w:t>https://www.cbr.ru/PSystem/dr/doc_dr/tarif/dr_t-1/</w:t>
      </w:r>
    </w:p>
    <w:p>
      <w:pPr>
        <w:pStyle w:val="Smallnote"/>
      </w:pPr>
      <w:r>
        <w:rPr>
          <w:b/>
        </w:rPr>
        <w:t xml:space="preserve">Федеральный закон от 23.07.2025 № 248-ФЗ: </w:t>
      </w:r>
      <w:r>
        <w:t>https://publication.pravo.gov.ru/document/0001202507230045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Карта обязанности по цифровому рублю  •  актуально на 06.09.2026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C99A42"/>
        <w:sz w:val="15"/>
      </w:rPr>
      <w:t>БИЗНЕС ПОД МИКРОСКОПОМ  •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0223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10223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5F6670"/>
      <w:sz w:val="17"/>
    </w:rPr>
  </w:style>
  <w:style w:type="paragraph" w:customStyle="1" w:styleId="Callout">
    <w:name w:val="Callout"/>
    <w:pPr>
      <w:spacing w:after="60"/>
    </w:pPr>
    <w:rPr>
      <w:rFonts w:ascii="Arial" w:hAnsi="Arial"/>
      <w:b/>
      <w:color w:val="102238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обязанности и торговых точек</dc:title>
  <dc:subject>Бизнес под микроскопом · Бизнес-среда · цифровой рубль</dc:subject>
  <dc:creator>python-docx</dc:creator>
  <cp:keywords/>
  <dc:description>Актуализировано 06.09.2026 после вступления первого обязательного этапа.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