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t>ОПЕРАЦИОННЫЙ ПЛАН</w:t>
      </w:r>
    </w:p>
    <w:p>
      <w:pPr>
        <w:pStyle w:val="Title"/>
      </w:pPr>
      <w:r>
        <w:t>План подключения и стабилизации после 1 сентября 2026 года</w:t>
      </w:r>
    </w:p>
    <w:p>
      <w:r>
        <w:t>Сценарий для компании, которая 6 сентября 2026 года обнаружила, что первый обязательный этап уже действует, а рабочий контур не полностью готов.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</w:tcPr>
          <w:p>
            <w:r>
              <w:t>Приоритет — не объяснять задержку, а быстро подтвердить обязанность, письменно зафиксировать статус у банка, включить минимальный безопасный контур и вести журнал стабилизации.</w:t>
            </w:r>
          </w:p>
        </w:tc>
      </w:tr>
    </w:tbl>
    <w:p>
      <w:pPr>
        <w:pStyle w:val="Heading1"/>
      </w:pPr>
      <w:r>
        <w:t>Шаг 0. В первые 2 часа: подтвердить применимость</w:t>
      </w:r>
    </w:p>
    <w:p>
      <w:pPr/>
      <w:r>
        <w:t>• Подтвердить B2C-продажи и выручку за 2025 год.</w:t>
      </w:r>
    </w:p>
    <w:p>
      <w:pPr/>
      <w:r>
        <w:t>• Найти договор приема электронных средств платежа, действовавший на 01.01.2026.</w:t>
      </w:r>
    </w:p>
    <w:p>
      <w:pPr/>
      <w:r>
        <w:t>• Подтвердить статус кредитной организации на контрольную дату.</w:t>
      </w:r>
    </w:p>
    <w:p>
      <w:pPr/>
      <w:r>
        <w:t>• Составить реестр торговых точек/каналов и применить исключения &lt;5 млн ₽ и отсутствие интернета.</w:t>
      </w:r>
    </w:p>
    <w:p>
      <w:pPr/>
      <w:r>
        <w:t>• Назначить одного владельца исправления разрыва.</w:t>
      </w:r>
    </w:p>
    <w:p>
      <w:pPr>
        <w:pStyle w:val="Heading1"/>
      </w:pPr>
      <w:r>
        <w:t>Шаг 1. В течение 24 часов: зафиксировать статус у банка</w:t>
      </w:r>
    </w:p>
    <w:p>
      <w:pPr/>
      <w:r>
        <w:t>• Открыть или инициировать открытие счета цифрового рубля через банк — участник платформы.</w:t>
      </w:r>
    </w:p>
    <w:p>
      <w:pPr/>
      <w:r>
        <w:t>• Получить письменный статус подключения офлайн-касс, сайта и приложения.</w:t>
      </w:r>
    </w:p>
    <w:p>
      <w:pPr/>
      <w:r>
        <w:t>• Уточнить, можно ли использовать текущую СБП/QR-инфраструктуру без нового оборудования.</w:t>
      </w:r>
    </w:p>
    <w:p>
      <w:pPr/>
      <w:r>
        <w:t>• Зафиксировать тарифы банка/интегратора помимо тарифа оператора платформы.</w:t>
      </w:r>
    </w:p>
    <w:p>
      <w:pPr/>
      <w:r>
        <w:t>• Получить контакт технического ответственного и окно тестирования.</w:t>
      </w:r>
    </w:p>
    <w:p>
      <w:pPr>
        <w:pStyle w:val="Heading1"/>
      </w:pPr>
      <w:r>
        <w:t>Шаг 2. В течение 48 часов: включить минимальный рабочий контур</w:t>
      </w:r>
    </w:p>
    <w:p>
      <w:pPr/>
      <w:r>
        <w:t>• Настроить обязательные каналы приема.</w:t>
      </w:r>
    </w:p>
    <w:p>
      <w:pPr/>
      <w:r>
        <w:t>• Не закрывать заказ/продажу до финального подтверждения операции.</w:t>
      </w:r>
    </w:p>
    <w:p>
      <w:pPr/>
      <w:r>
        <w:t>• Настроить полный возврат и, если применимо, частичный возврат.</w:t>
      </w:r>
    </w:p>
    <w:p>
      <w:pPr/>
      <w:r>
        <w:t>• Подготовить выгрузку/реестр для ежедневной сверки.</w:t>
      </w:r>
    </w:p>
    <w:p>
      <w:pPr/>
      <w:r>
        <w:t>• Дать кассирам, поддержке и бухгалтерии короткую инструкцию на один лист.</w:t>
      </w:r>
    </w:p>
    <w:p>
      <w:pPr>
        <w:pStyle w:val="Heading1"/>
      </w:pPr>
      <w:r>
        <w:t>Шаг 3. Дни 3–7: end-to-end тест и стабилизация</w:t>
      </w:r>
    </w:p>
    <w:p>
      <w:pPr/>
      <w:r>
        <w:t>• Провести успешную оплату офлайн и/или онлайн в обязательных каналах.</w:t>
      </w:r>
    </w:p>
    <w:p>
      <w:pPr/>
      <w:r>
        <w:t>• Проверить полный возврат, таймаут, спорный статус и повторный callback.</w:t>
      </w:r>
    </w:p>
    <w:p>
      <w:pPr/>
      <w:r>
        <w:t>• Сверить заказ ↔ платеж ↔ чек ↔ возврат ↔ банковский реестр.</w:t>
      </w:r>
    </w:p>
    <w:p>
      <w:pPr/>
      <w:r>
        <w:t>• Ежедневно фиксировать ошибки, причину, время восстановления и ответственного.</w:t>
      </w:r>
    </w:p>
    <w:p>
      <w:pPr/>
      <w:r>
        <w:t>• Закрыть критические дефекты до масштабирования на остальные точки.</w:t>
      </w:r>
    </w:p>
    <w:p>
      <w:pPr>
        <w:pStyle w:val="Heading1"/>
      </w:pPr>
      <w:r>
        <w:t>Шаг 4. Дни 8–14: масштабирование на остальные обязательные точки</w:t>
      </w:r>
    </w:p>
    <w:p>
      <w:pPr/>
      <w:r>
        <w:t>• Распространить проверенный сценарий без изменения логики платежного статуса.</w:t>
      </w:r>
    </w:p>
    <w:p>
      <w:pPr/>
      <w:r>
        <w:t>• Проверить, что исключенные точки документально соответствуют условиям.</w:t>
      </w:r>
    </w:p>
    <w:p>
      <w:pPr/>
      <w:r>
        <w:t>• Установить регулярную сверку и процесс эскалации инцидентов.</w:t>
      </w:r>
    </w:p>
    <w:p>
      <w:pPr/>
      <w:r>
        <w:t>• Зафиксировать фактические затраты интеграции и поддержки в калькуляторе.</w:t>
      </w:r>
    </w:p>
    <w:p>
      <w:pPr>
        <w:pStyle w:val="Heading1"/>
      </w:pPr>
      <w:r>
        <w:t>STOP / RECHECK</w:t>
      </w:r>
    </w:p>
    <w:p>
      <w:pPr/>
      <w:r>
        <w:t>• STOP: платеж может списаться, но продажа не получает однозначного финального статуса.</w:t>
      </w:r>
    </w:p>
    <w:p>
      <w:pPr/>
      <w:r>
        <w:t>• STOP: возврат не проверен или не отражается в сверке.</w:t>
      </w:r>
    </w:p>
    <w:p>
      <w:pPr/>
      <w:r>
        <w:t>• STOP: сотрудник подтверждает оплату по экрану телефона клиента.</w:t>
      </w:r>
    </w:p>
    <w:p>
      <w:pPr/>
      <w:r>
        <w:t>• RECHECK: нет письменного ответа банка по спорной обязанности/точке.</w:t>
      </w:r>
    </w:p>
    <w:p>
      <w:pPr/>
      <w:r>
        <w:t>• RECHECK: неясен статус ИП или рекуррентного сценария.</w:t>
      </w:r>
    </w:p>
    <w:p>
      <w:pPr/>
      <w:r>
        <w:t>• RECHECK: нет устойчивой сверки с учетной системой.</w:t>
      </w:r>
    </w:p>
    <w:p>
      <w:pPr>
        <w:pStyle w:val="Heading1"/>
      </w:pPr>
      <w:r>
        <w:t>Журнал первых семи дней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Период</w:t>
            </w:r>
          </w:p>
        </w:tc>
        <w:tc>
          <w:tcPr>
            <w:tcW w:type="dxa" w:w="1481"/>
          </w:tcPr>
          <w:p>
            <w:r>
              <w:t>Успех, %</w:t>
            </w:r>
          </w:p>
        </w:tc>
        <w:tc>
          <w:tcPr>
            <w:tcW w:type="dxa" w:w="1481"/>
          </w:tcPr>
          <w:p>
            <w:r>
              <w:t>Ошибки</w:t>
            </w:r>
          </w:p>
        </w:tc>
        <w:tc>
          <w:tcPr>
            <w:tcW w:type="dxa" w:w="1481"/>
          </w:tcPr>
          <w:p>
            <w:r>
              <w:t>Возвраты</w:t>
            </w:r>
          </w:p>
        </w:tc>
        <w:tc>
          <w:tcPr>
            <w:tcW w:type="dxa" w:w="1481"/>
          </w:tcPr>
          <w:p>
            <w:r>
              <w:t>Расхождения</w:t>
            </w:r>
          </w:p>
        </w:tc>
        <w:tc>
          <w:tcPr>
            <w:tcW w:type="dxa" w:w="1481"/>
          </w:tcPr>
          <w:p>
            <w:r>
              <w:t>Среднее восстановление</w:t>
            </w:r>
          </w:p>
        </w:tc>
        <w:tc>
          <w:tcPr>
            <w:tcW w:type="dxa" w:w="1481"/>
          </w:tcPr>
          <w:p>
            <w:r>
              <w:t>Ответственный</w:t>
            </w:r>
          </w:p>
        </w:tc>
      </w:tr>
      <w:tr>
        <w:tc>
          <w:tcPr>
            <w:tcW w:type="dxa" w:w="1481"/>
          </w:tcPr>
          <w:p>
            <w:r>
              <w:t>День 1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</w:tr>
      <w:tr>
        <w:tc>
          <w:tcPr>
            <w:tcW w:type="dxa" w:w="1481"/>
          </w:tcPr>
          <w:p>
            <w:r>
              <w:t>День 2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</w:tr>
      <w:tr>
        <w:tc>
          <w:tcPr>
            <w:tcW w:type="dxa" w:w="1481"/>
          </w:tcPr>
          <w:p>
            <w:r>
              <w:t>День 3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</w:tr>
      <w:tr>
        <w:tc>
          <w:tcPr>
            <w:tcW w:type="dxa" w:w="1481"/>
          </w:tcPr>
          <w:p>
            <w:r>
              <w:t>Дни 4–7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  <w:tc>
          <w:tcPr>
            <w:tcW w:type="dxa" w:w="1481"/>
          </w:tcPr>
          <w:p>
            <w:r>
              <w:t>_____</w:t>
            </w:r>
          </w:p>
        </w:tc>
      </w:tr>
    </w:tbl>
    <w:p>
      <w:pPr>
        <w:pStyle w:val="Heading1"/>
      </w:pPr>
      <w:r>
        <w:t>Что с ответственностью</w:t>
      </w:r>
    </w:p>
    <w:p>
      <w:pPr/>
      <w:r>
        <w:t>В проверенных официальных источниках на 6 сентября 2026 года не найден отдельный универсальный специальный штраф, установленный именно за неприем цифрового рубля. Не указывайте выдуманную сумму. Если обязанность подтверждена, отсутствие рабочего приема все равно является несоответствием требованию и требует немедленного устранения; конкретные последствия оцениваются по фактической ситуации.</w:t>
      </w:r>
    </w:p>
    <w:p>
      <w:pPr>
        <w:pStyle w:val="Heading1"/>
      </w:pPr>
      <w:r>
        <w:t>Источники</w:t>
      </w:r>
    </w:p>
    <w:p>
      <w:pPr>
        <w:pStyle w:val="Smallnote"/>
      </w:pPr>
      <w:r>
        <w:t>Банк России — «Прием оплаты в цифровых рублях»: https://www.cbr.ru/PSystem/dr/accepting_payments_dr/</w:t>
      </w:r>
    </w:p>
    <w:p>
      <w:pPr>
        <w:pStyle w:val="Smallnote"/>
      </w:pPr>
      <w:r>
        <w:t>Банк России — «Цифровой рубль: вопросы и ответы»: https://www.cbr.ru/faq/dr/</w:t>
      </w:r>
    </w:p>
    <w:p>
      <w:pPr>
        <w:pStyle w:val="Smallnote"/>
      </w:pPr>
      <w:r>
        <w:t>Банк России — тарифы платформы цифрового рубля: https://www.cbr.ru/PSystem/dr/doc_dr/tarif/dr_t-1/</w:t>
      </w:r>
    </w:p>
    <w:p>
      <w:pPr>
        <w:pStyle w:val="Smallnote"/>
      </w:pPr>
      <w:r>
        <w:t>Банк России — «Цифровой рубль: старт использования», 31.08.2026: https://www.cbr.ru/press/event/?id=32802</w:t>
      </w:r>
    </w:p>
    <w:p>
      <w:pPr>
        <w:pStyle w:val="Smallnote"/>
      </w:pPr>
      <w:r>
        <w:t>Федеральный закон от 23.07.2025 № 248-ФЗ: https://publication.pravo.gov.ru/document/0001202507230045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План подключения цифрового рубля  •  актуально на 06.09.2026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C99A42"/>
        <w:sz w:val="15"/>
      </w:rPr>
      <w:t>БИЗНЕС ПОД МИКРОСКОПОМ  •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B31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0223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10223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5F6670"/>
      <w:sz w:val="17"/>
    </w:rPr>
  </w:style>
  <w:style w:type="paragraph" w:customStyle="1" w:styleId="Callout">
    <w:name w:val="Callout"/>
    <w:pPr>
      <w:spacing w:after="60"/>
    </w:pPr>
    <w:rPr>
      <w:rFonts w:ascii="Arial" w:hAnsi="Arial"/>
      <w:b/>
      <w:color w:val="102238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подключения и стабилизации после 1 сентября 2026 года</dc:title>
  <dc:subject>Бизнес под микроскопом · Бизнес-среда · цифровой рубль</dc:subject>
  <dc:creator>python-docx</dc:creator>
  <cp:keywords/>
  <dc:description>Актуализировано 06.09.2026 после вступления первого обязательного этапа.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