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color w:val="C99A42"/>
          <w:sz w:val="18"/>
        </w:rPr>
        <w:t>ПРАКТИЧЕСКОЕ РУКОВОДСТВО</w:t>
      </w:r>
    </w:p>
    <w:p>
      <w:pPr>
        <w:pStyle w:val="Title"/>
      </w:pPr>
      <w:r>
        <w:t>Цифровой рубль для бизнеса — 2026</w:t>
      </w:r>
    </w:p>
    <w:p>
      <w:r>
        <w:t>Первый обязательный этап уже действует: как проверить применимость к компании и точкам, закрыть технические пробелы и посчитать стоимость платежей после льготного периода.</w:t>
      </w:r>
    </w:p>
    <w:tbl>
      <w:tblPr>
        <w:tblW w:type="auto" w:w="0"/>
        <w:jc w:val="left"/>
        <w:tblLook w:firstColumn="1" w:firstRow="1" w:lastColumn="0" w:lastRow="0" w:noHBand="0" w:noVBand="1" w:val="04A0"/>
      </w:tblPr>
      <w:tblGrid>
        <w:gridCol w:w="10368"/>
      </w:tblGrid>
      <w:tr>
        <w:tc>
          <w:tcPr>
            <w:tcW w:type="dxa" w:w="10368"/>
            <w:shd w:fill="EFEAE0"/>
            <w:tcMar>
              <w:top w:w="120" w:type="dxa"/>
              <w:start w:w="160" w:type="dxa"/>
              <w:bottom w:w="120" w:type="dxa"/>
              <w:end w:w="160" w:type="dxa"/>
            </w:tcMar>
          </w:tcPr>
          <w:p>
            <w:pPr>
              <w:pStyle w:val="Callout"/>
            </w:pPr>
            <w:r>
              <w:t>Ключевой принцип: для первого этапа недостаточно одной выручки. Нужна совокупность условий + проверка каждой точки.</w:t>
            </w:r>
          </w:p>
        </w:tc>
      </w:tr>
    </w:tbl>
    <w:p>
      <w:r/>
    </w:p>
    <w:p>
      <w:pPr>
        <w:pStyle w:val="Heading1"/>
      </w:pPr>
      <w:r>
        <w:t>1. Суть изменения за одну минуту</w:t>
      </w:r>
    </w:p>
    <w:p>
      <w:r>
        <w:t>С 1 сентября 2026 года первый массовый этап приема цифрового рубля уже действует. Для граждан использование цифрового рубля остается добровольным. Для части продавцов товаров, работ и услуг гражданам обязанность обеспечить такой способ оплаты уже наступила.</w:t>
      </w:r>
    </w:p>
    <w:p>
      <w:pPr>
        <w:ind w:left="230" w:hanging="144"/>
      </w:pPr>
      <w:r>
        <w:rPr>
          <w:b/>
        </w:rPr>
        <w:t xml:space="preserve">• </w:t>
      </w:r>
      <w:r>
        <w:t>Цифровой рубль — не криптовалюта и не новый курс: один цифровой рубль равен одному рублю.</w:t>
      </w:r>
    </w:p>
    <w:p>
      <w:pPr>
        <w:ind w:left="230" w:hanging="144"/>
      </w:pPr>
      <w:r>
        <w:rPr>
          <w:b/>
        </w:rPr>
        <w:t xml:space="preserve">• </w:t>
      </w:r>
      <w:r>
        <w:t>Счет цифрового рубля находится на платформе Банка России, а доступ к нему компания получает через подключенный банк.</w:t>
      </w:r>
    </w:p>
    <w:p>
      <w:pPr>
        <w:ind w:left="230" w:hanging="144"/>
      </w:pPr>
      <w:r>
        <w:rPr>
          <w:b/>
        </w:rPr>
        <w:t xml:space="preserve">• </w:t>
      </w:r>
      <w:r>
        <w:t>У компании один счет цифрового рубля на платформе; работать с ним можно через ДБО банков, которые дают доступ к платформе.</w:t>
      </w:r>
    </w:p>
    <w:p>
      <w:pPr>
        <w:ind w:left="230" w:hanging="144"/>
      </w:pPr>
      <w:r>
        <w:rPr>
          <w:b/>
        </w:rPr>
        <w:t xml:space="preserve">• </w:t>
      </w:r>
      <w:r>
        <w:t>До конца 2026 года действует льготный период по тарифу оператора платформы для бизнеса.</w:t>
      </w:r>
    </w:p>
    <w:p>
      <w:pPr>
        <w:pStyle w:val="Heading1"/>
      </w:pPr>
      <w:r>
        <w:t>2. Кто обязан с 1 сентября 2026 года</w:t>
      </w:r>
    </w:p>
    <w:p>
      <w:r>
        <w:t>Для первого этапа одновременно проверьте четыре блока.</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1584"/>
            <w:shd w:fill="102238"/>
            <w:vAlign w:val="center"/>
            <w:tcMar>
              <w:top w:w="100" w:type="dxa"/>
              <w:start w:w="120" w:type="dxa"/>
              <w:bottom w:w="100" w:type="dxa"/>
              <w:end w:w="120" w:type="dxa"/>
            </w:tcMar>
          </w:tcPr>
          <w:p>
            <w:pPr>
              <w:jc w:val="left"/>
            </w:pPr>
            <w:r>
              <w:rPr>
                <w:rFonts w:ascii="Arial" w:hAnsi="Arial"/>
                <w:b/>
                <w:color w:val="FFFFFF"/>
                <w:sz w:val="17"/>
              </w:rPr>
              <w:t>Блок</w:t>
            </w:r>
          </w:p>
        </w:tc>
        <w:tc>
          <w:tcPr>
            <w:tcW w:type="dxa" w:w="3168"/>
            <w:shd w:fill="102238"/>
            <w:vAlign w:val="center"/>
            <w:tcMar>
              <w:top w:w="100" w:type="dxa"/>
              <w:start w:w="120" w:type="dxa"/>
              <w:bottom w:w="100" w:type="dxa"/>
              <w:end w:w="120" w:type="dxa"/>
            </w:tcMar>
          </w:tcPr>
          <w:p>
            <w:pPr>
              <w:jc w:val="left"/>
            </w:pPr>
            <w:r>
              <w:rPr>
                <w:rFonts w:ascii="Arial" w:hAnsi="Arial"/>
                <w:b/>
                <w:color w:val="FFFFFF"/>
                <w:sz w:val="17"/>
              </w:rPr>
              <w:t>Что подтвердить</w:t>
            </w:r>
          </w:p>
        </w:tc>
        <w:tc>
          <w:tcPr>
            <w:tcW w:type="dxa" w:w="4608"/>
            <w:shd w:fill="102238"/>
            <w:vAlign w:val="center"/>
            <w:tcMar>
              <w:top w:w="100" w:type="dxa"/>
              <w:start w:w="120" w:type="dxa"/>
              <w:bottom w:w="100" w:type="dxa"/>
              <w:end w:w="120" w:type="dxa"/>
            </w:tcMar>
          </w:tcPr>
          <w:p>
            <w:pPr>
              <w:jc w:val="left"/>
            </w:pPr>
            <w:r>
              <w:rPr>
                <w:rFonts w:ascii="Arial" w:hAnsi="Arial"/>
                <w:b/>
                <w:color w:val="FFFFFF"/>
                <w:sz w:val="17"/>
              </w:rPr>
              <w:t>Практический смысл</w:t>
            </w:r>
          </w:p>
        </w:tc>
      </w:tr>
      <w:tr>
        <w:tc>
          <w:tcPr>
            <w:tcW w:type="dxa" w:w="1584"/>
            <w:vAlign w:val="top"/>
            <w:tcMar>
              <w:top w:w="100" w:type="dxa"/>
              <w:start w:w="120" w:type="dxa"/>
              <w:bottom w:w="100" w:type="dxa"/>
              <w:end w:w="120" w:type="dxa"/>
            </w:tcMar>
          </w:tcPr>
          <w:p>
            <w:pPr>
              <w:spacing w:after="0"/>
            </w:pPr>
            <w:r>
              <w:rPr>
                <w:rFonts w:ascii="Arial" w:hAnsi="Arial"/>
                <w:color w:val="2B313A"/>
                <w:sz w:val="17"/>
              </w:rPr>
              <w:t>1. Покупатель</w:t>
            </w:r>
          </w:p>
        </w:tc>
        <w:tc>
          <w:tcPr>
            <w:tcW w:type="dxa" w:w="3168"/>
            <w:vAlign w:val="top"/>
            <w:tcMar>
              <w:top w:w="100" w:type="dxa"/>
              <w:start w:w="120" w:type="dxa"/>
              <w:bottom w:w="100" w:type="dxa"/>
              <w:end w:w="120" w:type="dxa"/>
            </w:tcMar>
          </w:tcPr>
          <w:p>
            <w:pPr>
              <w:spacing w:after="0"/>
            </w:pPr>
            <w:r>
              <w:rPr>
                <w:rFonts w:ascii="Arial" w:hAnsi="Arial"/>
                <w:color w:val="2B313A"/>
                <w:sz w:val="17"/>
              </w:rPr>
              <w:t>Есть продажи гражданам для личных нужд</w:t>
            </w:r>
          </w:p>
        </w:tc>
        <w:tc>
          <w:tcPr>
            <w:tcW w:type="dxa" w:w="4608"/>
            <w:vAlign w:val="top"/>
            <w:tcMar>
              <w:top w:w="100" w:type="dxa"/>
              <w:start w:w="120" w:type="dxa"/>
              <w:bottom w:w="100" w:type="dxa"/>
              <w:end w:w="120" w:type="dxa"/>
            </w:tcMar>
          </w:tcPr>
          <w:p>
            <w:pPr>
              <w:spacing w:after="0"/>
            </w:pPr>
            <w:r>
              <w:rPr>
                <w:rFonts w:ascii="Arial" w:hAnsi="Arial"/>
                <w:color w:val="2B313A"/>
                <w:sz w:val="17"/>
              </w:rPr>
              <w:t>Если только B2B-опт — потребительской обязанности нет.</w:t>
            </w:r>
          </w:p>
        </w:tc>
      </w:tr>
      <w:tr>
        <w:tc>
          <w:tcPr>
            <w:tcW w:type="dxa" w:w="1584"/>
            <w:vAlign w:val="top"/>
            <w:tcMar>
              <w:top w:w="100" w:type="dxa"/>
              <w:start w:w="120" w:type="dxa"/>
              <w:bottom w:w="100" w:type="dxa"/>
              <w:end w:w="120" w:type="dxa"/>
            </w:tcMar>
            <w:shd w:fill="FBF9F5"/>
          </w:tcPr>
          <w:p>
            <w:pPr>
              <w:spacing w:after="0"/>
            </w:pPr>
            <w:r>
              <w:rPr>
                <w:rFonts w:ascii="Arial" w:hAnsi="Arial"/>
                <w:color w:val="2B313A"/>
                <w:sz w:val="17"/>
              </w:rPr>
              <w:t>2. Выручка</w:t>
            </w:r>
          </w:p>
        </w:tc>
        <w:tc>
          <w:tcPr>
            <w:tcW w:type="dxa" w:w="3168"/>
            <w:vAlign w:val="top"/>
            <w:tcMar>
              <w:top w:w="100" w:type="dxa"/>
              <w:start w:w="120" w:type="dxa"/>
              <w:bottom w:w="100" w:type="dxa"/>
              <w:end w:w="120" w:type="dxa"/>
            </w:tcMar>
            <w:shd w:fill="FBF9F5"/>
          </w:tcPr>
          <w:p>
            <w:pPr>
              <w:spacing w:after="0"/>
            </w:pPr>
            <w:r>
              <w:rPr>
                <w:rFonts w:ascii="Arial" w:hAnsi="Arial"/>
                <w:color w:val="2B313A"/>
                <w:sz w:val="17"/>
              </w:rPr>
              <w:t>За 2025 год &gt;120 млн ₽</w:t>
            </w:r>
          </w:p>
        </w:tc>
        <w:tc>
          <w:tcPr>
            <w:tcW w:type="dxa" w:w="4608"/>
            <w:vAlign w:val="top"/>
            <w:tcMar>
              <w:top w:w="100" w:type="dxa"/>
              <w:start w:w="120" w:type="dxa"/>
              <w:bottom w:w="100" w:type="dxa"/>
              <w:end w:w="120" w:type="dxa"/>
            </w:tcMar>
            <w:shd w:fill="FBF9F5"/>
          </w:tcPr>
          <w:p>
            <w:pPr>
              <w:spacing w:after="0"/>
            </w:pPr>
            <w:r>
              <w:rPr>
                <w:rFonts w:ascii="Arial" w:hAnsi="Arial"/>
                <w:color w:val="2B313A"/>
                <w:sz w:val="17"/>
              </w:rPr>
              <w:t>Ровно 120 млн ₽ не соответствует формулировке «превышает».</w:t>
            </w:r>
          </w:p>
        </w:tc>
      </w:tr>
      <w:tr>
        <w:tc>
          <w:tcPr>
            <w:tcW w:type="dxa" w:w="1584"/>
            <w:vAlign w:val="top"/>
            <w:tcMar>
              <w:top w:w="100" w:type="dxa"/>
              <w:start w:w="120" w:type="dxa"/>
              <w:bottom w:w="100" w:type="dxa"/>
              <w:end w:w="120" w:type="dxa"/>
            </w:tcMar>
          </w:tcPr>
          <w:p>
            <w:pPr>
              <w:spacing w:after="0"/>
            </w:pPr>
            <w:r>
              <w:rPr>
                <w:rFonts w:ascii="Arial" w:hAnsi="Arial"/>
                <w:color w:val="2B313A"/>
                <w:sz w:val="17"/>
              </w:rPr>
              <w:t>3. Договор</w:t>
            </w:r>
          </w:p>
        </w:tc>
        <w:tc>
          <w:tcPr>
            <w:tcW w:type="dxa" w:w="3168"/>
            <w:vAlign w:val="top"/>
            <w:tcMar>
              <w:top w:w="100" w:type="dxa"/>
              <w:start w:w="120" w:type="dxa"/>
              <w:bottom w:w="100" w:type="dxa"/>
              <w:end w:w="120" w:type="dxa"/>
            </w:tcMar>
          </w:tcPr>
          <w:p>
            <w:pPr>
              <w:spacing w:after="0"/>
            </w:pPr>
            <w:r>
              <w:rPr>
                <w:rFonts w:ascii="Arial" w:hAnsi="Arial"/>
                <w:color w:val="2B313A"/>
                <w:sz w:val="17"/>
              </w:rPr>
              <w:t>На 01.01.2026 действовал договор приема электронных средств платежа</w:t>
            </w:r>
          </w:p>
        </w:tc>
        <w:tc>
          <w:tcPr>
            <w:tcW w:type="dxa" w:w="4608"/>
            <w:vAlign w:val="top"/>
            <w:tcMar>
              <w:top w:w="100" w:type="dxa"/>
              <w:start w:w="120" w:type="dxa"/>
              <w:bottom w:w="100" w:type="dxa"/>
              <w:end w:w="120" w:type="dxa"/>
            </w:tcMar>
          </w:tcPr>
          <w:p>
            <w:pPr>
              <w:spacing w:after="0"/>
            </w:pPr>
            <w:r>
              <w:rPr>
                <w:rFonts w:ascii="Arial" w:hAnsi="Arial"/>
                <w:color w:val="2B313A"/>
                <w:sz w:val="17"/>
              </w:rPr>
              <w:t>Ищите договор эквайринга/приема, а не только расчетный счет.</w:t>
            </w:r>
          </w:p>
        </w:tc>
      </w:tr>
      <w:tr>
        <w:tc>
          <w:tcPr>
            <w:tcW w:type="dxa" w:w="1584"/>
            <w:vAlign w:val="top"/>
            <w:tcMar>
              <w:top w:w="100" w:type="dxa"/>
              <w:start w:w="120" w:type="dxa"/>
              <w:bottom w:w="100" w:type="dxa"/>
              <w:end w:w="120" w:type="dxa"/>
            </w:tcMar>
            <w:shd w:fill="FBF9F5"/>
          </w:tcPr>
          <w:p>
            <w:pPr>
              <w:spacing w:after="0"/>
            </w:pPr>
            <w:r>
              <w:rPr>
                <w:rFonts w:ascii="Arial" w:hAnsi="Arial"/>
                <w:color w:val="2B313A"/>
                <w:sz w:val="17"/>
              </w:rPr>
              <w:t>4. Банк</w:t>
            </w:r>
          </w:p>
        </w:tc>
        <w:tc>
          <w:tcPr>
            <w:tcW w:type="dxa" w:w="3168"/>
            <w:vAlign w:val="top"/>
            <w:tcMar>
              <w:top w:w="100" w:type="dxa"/>
              <w:start w:w="120" w:type="dxa"/>
              <w:bottom w:w="100" w:type="dxa"/>
              <w:end w:w="120" w:type="dxa"/>
            </w:tcMar>
            <w:shd w:fill="FBF9F5"/>
          </w:tcPr>
          <w:p>
            <w:pPr>
              <w:spacing w:after="0"/>
            </w:pPr>
            <w:r>
              <w:rPr>
                <w:rFonts w:ascii="Arial" w:hAnsi="Arial"/>
                <w:color w:val="2B313A"/>
                <w:sz w:val="17"/>
              </w:rPr>
              <w:t>Банк по этому договору был признан Банком России значимым на рынке платежных услуг</w:t>
            </w:r>
          </w:p>
        </w:tc>
        <w:tc>
          <w:tcPr>
            <w:tcW w:type="dxa" w:w="4608"/>
            <w:vAlign w:val="top"/>
            <w:tcMar>
              <w:top w:w="100" w:type="dxa"/>
              <w:start w:w="120" w:type="dxa"/>
              <w:bottom w:w="100" w:type="dxa"/>
              <w:end w:w="120" w:type="dxa"/>
            </w:tcMar>
            <w:shd w:fill="FBF9F5"/>
          </w:tcPr>
          <w:p>
            <w:pPr>
              <w:spacing w:after="0"/>
            </w:pPr>
            <w:r>
              <w:rPr>
                <w:rFonts w:ascii="Arial" w:hAnsi="Arial"/>
                <w:color w:val="2B313A"/>
                <w:sz w:val="17"/>
              </w:rPr>
              <w:t>Важно состояние на контрольную дату 01.01.2026.</w:t>
            </w:r>
          </w:p>
        </w:tc>
      </w:tr>
    </w:tbl>
    <w:p>
      <w:pPr>
        <w:pStyle w:val="Heading1"/>
      </w:pPr>
      <w:r>
        <w:t>3. Почему контрольная дата банка критична</w:t>
      </w:r>
    </w:p>
    <w:p>
      <w:r>
        <w:t>Банк России отдельно разъясняет ситуацию, когда продавец с выручкой выше 120 млн ₽ стал клиентом значимого банка только в августе 2026 года: обязанность первого этапа из-за этого не возникает. И наоборот, если на 1 января 2026 года был договор приема электронных средств платежа со значимым банком, отсутствие счета в этом банке само по себе не освобождает от обязанности.</w:t>
      </w:r>
    </w:p>
    <w:p>
      <w:r>
        <w:t>Что хранить как доказательство:</w:t>
      </w:r>
    </w:p>
    <w:p>
      <w:pPr>
        <w:ind w:left="230" w:hanging="144"/>
      </w:pPr>
      <w:r>
        <w:rPr>
          <w:b/>
        </w:rPr>
        <w:t xml:space="preserve">• </w:t>
      </w:r>
      <w:r>
        <w:t>договор/оферту приема электронных средств платежа, действовавшую на 01.01.2026;</w:t>
      </w:r>
    </w:p>
    <w:p>
      <w:pPr>
        <w:ind w:left="230" w:hanging="144"/>
      </w:pPr>
      <w:r>
        <w:rPr>
          <w:b/>
        </w:rPr>
        <w:t xml:space="preserve">• </w:t>
      </w:r>
      <w:r>
        <w:t>приложения к договору и реквизиты кредитной организации;</w:t>
      </w:r>
    </w:p>
    <w:p>
      <w:pPr>
        <w:ind w:left="230" w:hanging="144"/>
      </w:pPr>
      <w:r>
        <w:rPr>
          <w:b/>
        </w:rPr>
        <w:t xml:space="preserve">• </w:t>
      </w:r>
      <w:r>
        <w:t>внутреннюю справку о выручке за 2025 год;</w:t>
      </w:r>
    </w:p>
    <w:p>
      <w:pPr>
        <w:ind w:left="230" w:hanging="144"/>
      </w:pPr>
      <w:r>
        <w:rPr>
          <w:b/>
        </w:rPr>
        <w:t xml:space="preserve">• </w:t>
      </w:r>
      <w:r>
        <w:t>скрин/письмо банка с техническим планом подключения;</w:t>
      </w:r>
    </w:p>
    <w:p>
      <w:pPr>
        <w:ind w:left="230" w:hanging="144"/>
      </w:pPr>
      <w:r>
        <w:rPr>
          <w:b/>
        </w:rPr>
        <w:t xml:space="preserve">• </w:t>
      </w:r>
      <w:r>
        <w:t>реестр точек с выручкой и интернет-доступом.</w:t>
      </w:r>
    </w:p>
    <w:p>
      <w:pPr>
        <w:pStyle w:val="Heading1"/>
      </w:pPr>
      <w:r>
        <w:t>4. Этапы 2026–2028</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1872"/>
            <w:shd w:fill="102238"/>
            <w:vAlign w:val="center"/>
            <w:tcMar>
              <w:top w:w="100" w:type="dxa"/>
              <w:start w:w="120" w:type="dxa"/>
              <w:bottom w:w="100" w:type="dxa"/>
              <w:end w:w="120" w:type="dxa"/>
            </w:tcMar>
          </w:tcPr>
          <w:p>
            <w:pPr>
              <w:jc w:val="left"/>
            </w:pPr>
            <w:r>
              <w:rPr>
                <w:rFonts w:ascii="Arial" w:hAnsi="Arial"/>
                <w:b/>
                <w:color w:val="FFFFFF"/>
                <w:sz w:val="17"/>
              </w:rPr>
              <w:t>Срок</w:t>
            </w:r>
          </w:p>
        </w:tc>
        <w:tc>
          <w:tcPr>
            <w:tcW w:type="dxa" w:w="1872"/>
            <w:shd w:fill="102238"/>
            <w:vAlign w:val="center"/>
            <w:tcMar>
              <w:top w:w="100" w:type="dxa"/>
              <w:start w:w="120" w:type="dxa"/>
              <w:bottom w:w="100" w:type="dxa"/>
              <w:end w:w="120" w:type="dxa"/>
            </w:tcMar>
          </w:tcPr>
          <w:p>
            <w:pPr>
              <w:jc w:val="left"/>
            </w:pPr>
            <w:r>
              <w:rPr>
                <w:rFonts w:ascii="Arial" w:hAnsi="Arial"/>
                <w:b/>
                <w:color w:val="FFFFFF"/>
                <w:sz w:val="17"/>
              </w:rPr>
              <w:t>Порог</w:t>
            </w:r>
          </w:p>
        </w:tc>
        <w:tc>
          <w:tcPr>
            <w:tcW w:type="dxa" w:w="5760"/>
            <w:shd w:fill="102238"/>
            <w:vAlign w:val="center"/>
            <w:tcMar>
              <w:top w:w="100" w:type="dxa"/>
              <w:start w:w="120" w:type="dxa"/>
              <w:bottom w:w="100" w:type="dxa"/>
              <w:end w:w="120" w:type="dxa"/>
            </w:tcMar>
          </w:tcPr>
          <w:p>
            <w:pPr>
              <w:jc w:val="left"/>
            </w:pPr>
            <w:r>
              <w:rPr>
                <w:rFonts w:ascii="Arial" w:hAnsi="Arial"/>
                <w:b/>
                <w:color w:val="FFFFFF"/>
                <w:sz w:val="17"/>
              </w:rPr>
              <w:t>Дополнительное условие</w:t>
            </w:r>
          </w:p>
        </w:tc>
      </w:tr>
      <w:tr>
        <w:tc>
          <w:tcPr>
            <w:tcW w:type="dxa" w:w="1872"/>
            <w:vAlign w:val="top"/>
            <w:tcMar>
              <w:top w:w="100" w:type="dxa"/>
              <w:start w:w="120" w:type="dxa"/>
              <w:bottom w:w="100" w:type="dxa"/>
              <w:end w:w="120" w:type="dxa"/>
            </w:tcMar>
          </w:tcPr>
          <w:p>
            <w:pPr>
              <w:spacing w:after="0"/>
            </w:pPr>
            <w:r>
              <w:rPr>
                <w:rFonts w:ascii="Arial" w:hAnsi="Arial"/>
                <w:color w:val="2B313A"/>
                <w:sz w:val="17"/>
              </w:rPr>
              <w:t>01.09.2026</w:t>
            </w:r>
          </w:p>
        </w:tc>
        <w:tc>
          <w:tcPr>
            <w:tcW w:type="dxa" w:w="1872"/>
            <w:vAlign w:val="top"/>
            <w:tcMar>
              <w:top w:w="100" w:type="dxa"/>
              <w:start w:w="120" w:type="dxa"/>
              <w:bottom w:w="100" w:type="dxa"/>
              <w:end w:w="120" w:type="dxa"/>
            </w:tcMar>
          </w:tcPr>
          <w:p>
            <w:pPr>
              <w:spacing w:after="0"/>
            </w:pPr>
            <w:r>
              <w:rPr>
                <w:rFonts w:ascii="Arial" w:hAnsi="Arial"/>
                <w:color w:val="2B313A"/>
                <w:sz w:val="17"/>
              </w:rPr>
              <w:t>&gt;120 млн ₽</w:t>
            </w:r>
          </w:p>
        </w:tc>
        <w:tc>
          <w:tcPr>
            <w:tcW w:type="dxa" w:w="5760"/>
            <w:vAlign w:val="top"/>
            <w:tcMar>
              <w:top w:w="100" w:type="dxa"/>
              <w:start w:w="120" w:type="dxa"/>
              <w:bottom w:w="100" w:type="dxa"/>
              <w:end w:w="120" w:type="dxa"/>
            </w:tcMar>
          </w:tcPr>
          <w:p>
            <w:pPr>
              <w:spacing w:after="0"/>
            </w:pPr>
            <w:r>
              <w:rPr>
                <w:rFonts w:ascii="Arial" w:hAnsi="Arial"/>
                <w:color w:val="2B313A"/>
                <w:sz w:val="17"/>
              </w:rPr>
              <w:t>B2C + договор на 01.01.2026 со значимым банком</w:t>
            </w:r>
          </w:p>
        </w:tc>
      </w:tr>
      <w:tr>
        <w:tc>
          <w:tcPr>
            <w:tcW w:type="dxa" w:w="1872"/>
            <w:vAlign w:val="top"/>
            <w:tcMar>
              <w:top w:w="100" w:type="dxa"/>
              <w:start w:w="120" w:type="dxa"/>
              <w:bottom w:w="100" w:type="dxa"/>
              <w:end w:w="120" w:type="dxa"/>
            </w:tcMar>
            <w:shd w:fill="FBF9F5"/>
          </w:tcPr>
          <w:p>
            <w:pPr>
              <w:spacing w:after="0"/>
            </w:pPr>
            <w:r>
              <w:rPr>
                <w:rFonts w:ascii="Arial" w:hAnsi="Arial"/>
                <w:color w:val="2B313A"/>
                <w:sz w:val="17"/>
              </w:rPr>
              <w:t>01.09.2027</w:t>
            </w:r>
          </w:p>
        </w:tc>
        <w:tc>
          <w:tcPr>
            <w:tcW w:type="dxa" w:w="1872"/>
            <w:vAlign w:val="top"/>
            <w:tcMar>
              <w:top w:w="100" w:type="dxa"/>
              <w:start w:w="120" w:type="dxa"/>
              <w:bottom w:w="100" w:type="dxa"/>
              <w:end w:w="120" w:type="dxa"/>
            </w:tcMar>
            <w:shd w:fill="FBF9F5"/>
          </w:tcPr>
          <w:p>
            <w:pPr>
              <w:spacing w:after="0"/>
            </w:pPr>
            <w:r>
              <w:rPr>
                <w:rFonts w:ascii="Arial" w:hAnsi="Arial"/>
                <w:color w:val="2B313A"/>
                <w:sz w:val="17"/>
              </w:rPr>
              <w:t>&gt;30 млн ₽</w:t>
            </w:r>
          </w:p>
        </w:tc>
        <w:tc>
          <w:tcPr>
            <w:tcW w:type="dxa" w:w="5760"/>
            <w:vAlign w:val="top"/>
            <w:tcMar>
              <w:top w:w="100" w:type="dxa"/>
              <w:start w:w="120" w:type="dxa"/>
              <w:bottom w:w="100" w:type="dxa"/>
              <w:end w:w="120" w:type="dxa"/>
            </w:tcMar>
            <w:shd w:fill="FBF9F5"/>
          </w:tcPr>
          <w:p>
            <w:pPr>
              <w:spacing w:after="0"/>
            </w:pPr>
            <w:r>
              <w:rPr>
                <w:rFonts w:ascii="Arial" w:hAnsi="Arial"/>
                <w:color w:val="2B313A"/>
                <w:sz w:val="17"/>
              </w:rPr>
              <w:t>B2C + на 01.01.2026 клиент значимого банка или банка с универсальной лицензией по договору приема электронных средств платежа</w:t>
            </w:r>
          </w:p>
        </w:tc>
      </w:tr>
      <w:tr>
        <w:tc>
          <w:tcPr>
            <w:tcW w:type="dxa" w:w="1872"/>
            <w:vAlign w:val="top"/>
            <w:tcMar>
              <w:top w:w="100" w:type="dxa"/>
              <w:start w:w="120" w:type="dxa"/>
              <w:bottom w:w="100" w:type="dxa"/>
              <w:end w:w="120" w:type="dxa"/>
            </w:tcMar>
          </w:tcPr>
          <w:p>
            <w:pPr>
              <w:spacing w:after="0"/>
            </w:pPr>
            <w:r>
              <w:rPr>
                <w:rFonts w:ascii="Arial" w:hAnsi="Arial"/>
                <w:color w:val="2B313A"/>
                <w:sz w:val="17"/>
              </w:rPr>
              <w:t>01.09.2028</w:t>
            </w:r>
          </w:p>
        </w:tc>
        <w:tc>
          <w:tcPr>
            <w:tcW w:type="dxa" w:w="1872"/>
            <w:vAlign w:val="top"/>
            <w:tcMar>
              <w:top w:w="100" w:type="dxa"/>
              <w:start w:w="120" w:type="dxa"/>
              <w:bottom w:w="100" w:type="dxa"/>
              <w:end w:w="120" w:type="dxa"/>
            </w:tcMar>
          </w:tcPr>
          <w:p>
            <w:pPr>
              <w:spacing w:after="0"/>
            </w:pPr>
            <w:r>
              <w:rPr>
                <w:rFonts w:ascii="Arial" w:hAnsi="Arial"/>
                <w:color w:val="2B313A"/>
                <w:sz w:val="17"/>
              </w:rPr>
              <w:t>от 20 млн ₽</w:t>
            </w:r>
          </w:p>
        </w:tc>
        <w:tc>
          <w:tcPr>
            <w:tcW w:type="dxa" w:w="5760"/>
            <w:vAlign w:val="top"/>
            <w:tcMar>
              <w:top w:w="100" w:type="dxa"/>
              <w:start w:w="120" w:type="dxa"/>
              <w:bottom w:w="100" w:type="dxa"/>
              <w:end w:w="120" w:type="dxa"/>
            </w:tcMar>
          </w:tcPr>
          <w:p>
            <w:pPr>
              <w:spacing w:after="0"/>
            </w:pPr>
            <w:r>
              <w:rPr>
                <w:rFonts w:ascii="Arial" w:hAnsi="Arial"/>
                <w:color w:val="2B313A"/>
                <w:sz w:val="17"/>
              </w:rPr>
              <w:t>Остальные продавцы, не вошедшие в более ранние этапы; действуют исключения по точкам и интернету</w:t>
            </w:r>
          </w:p>
        </w:tc>
      </w:tr>
    </w:tbl>
    <w:p>
      <w:r>
        <w:t>Компаниям с совокупной годовой выручкой ниже 20 млн ₽ текущая обязанность приема цифрового рубля не установлена.</w:t>
      </w:r>
    </w:p>
    <w:p>
      <w:pPr>
        <w:pStyle w:val="Heading1"/>
      </w:pPr>
      <w:r>
        <w:t>5. Исключения по каждой торговой точке</w:t>
      </w:r>
    </w:p>
    <w:p>
      <w:r>
        <w:t>После определения статуса компании переходите на уровень каждой точки. Это отдельная проверка, а не формальность.</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2304"/>
            <w:shd w:fill="102238"/>
            <w:vAlign w:val="center"/>
            <w:tcMar>
              <w:top w:w="100" w:type="dxa"/>
              <w:start w:w="120" w:type="dxa"/>
              <w:bottom w:w="100" w:type="dxa"/>
              <w:end w:w="120" w:type="dxa"/>
            </w:tcMar>
          </w:tcPr>
          <w:p>
            <w:pPr>
              <w:jc w:val="left"/>
            </w:pPr>
            <w:r>
              <w:rPr>
                <w:rFonts w:ascii="Arial" w:hAnsi="Arial"/>
                <w:b/>
                <w:color w:val="FFFFFF"/>
                <w:sz w:val="17"/>
              </w:rPr>
              <w:t>Ситуация</w:t>
            </w:r>
          </w:p>
        </w:tc>
        <w:tc>
          <w:tcPr>
            <w:tcW w:type="dxa" w:w="2160"/>
            <w:shd w:fill="102238"/>
            <w:vAlign w:val="center"/>
            <w:tcMar>
              <w:top w:w="100" w:type="dxa"/>
              <w:start w:w="120" w:type="dxa"/>
              <w:bottom w:w="100" w:type="dxa"/>
              <w:end w:w="120" w:type="dxa"/>
            </w:tcMar>
          </w:tcPr>
          <w:p>
            <w:pPr>
              <w:jc w:val="left"/>
            </w:pPr>
            <w:r>
              <w:rPr>
                <w:rFonts w:ascii="Arial" w:hAnsi="Arial"/>
                <w:b/>
                <w:color w:val="FFFFFF"/>
                <w:sz w:val="17"/>
              </w:rPr>
              <w:t>Результат</w:t>
            </w:r>
          </w:p>
        </w:tc>
        <w:tc>
          <w:tcPr>
            <w:tcW w:type="dxa" w:w="5040"/>
            <w:shd w:fill="102238"/>
            <w:vAlign w:val="center"/>
            <w:tcMar>
              <w:top w:w="100" w:type="dxa"/>
              <w:start w:w="120" w:type="dxa"/>
              <w:bottom w:w="100" w:type="dxa"/>
              <w:end w:w="120" w:type="dxa"/>
            </w:tcMar>
          </w:tcPr>
          <w:p>
            <w:pPr>
              <w:jc w:val="left"/>
            </w:pPr>
            <w:r>
              <w:rPr>
                <w:rFonts w:ascii="Arial" w:hAnsi="Arial"/>
                <w:b/>
                <w:color w:val="FFFFFF"/>
                <w:sz w:val="17"/>
              </w:rPr>
              <w:t>Что делать</w:t>
            </w:r>
          </w:p>
        </w:tc>
      </w:tr>
      <w:tr>
        <w:tc>
          <w:tcPr>
            <w:tcW w:type="dxa" w:w="2304"/>
            <w:vAlign w:val="top"/>
            <w:tcMar>
              <w:top w:w="100" w:type="dxa"/>
              <w:start w:w="120" w:type="dxa"/>
              <w:bottom w:w="100" w:type="dxa"/>
              <w:end w:w="120" w:type="dxa"/>
            </w:tcMar>
          </w:tcPr>
          <w:p>
            <w:pPr>
              <w:spacing w:after="0"/>
            </w:pPr>
            <w:r>
              <w:rPr>
                <w:rFonts w:ascii="Arial" w:hAnsi="Arial"/>
                <w:color w:val="2B313A"/>
                <w:sz w:val="17"/>
              </w:rPr>
              <w:t>Точка &lt;5 млн ₽ в год</w:t>
            </w:r>
          </w:p>
        </w:tc>
        <w:tc>
          <w:tcPr>
            <w:tcW w:type="dxa" w:w="2160"/>
            <w:vAlign w:val="top"/>
            <w:tcMar>
              <w:top w:w="100" w:type="dxa"/>
              <w:start w:w="120" w:type="dxa"/>
              <w:bottom w:w="100" w:type="dxa"/>
              <w:end w:w="120" w:type="dxa"/>
            </w:tcMar>
          </w:tcPr>
          <w:p>
            <w:pPr>
              <w:spacing w:after="0"/>
            </w:pPr>
            <w:r>
              <w:rPr>
                <w:rFonts w:ascii="Arial" w:hAnsi="Arial"/>
                <w:color w:val="2B313A"/>
                <w:sz w:val="17"/>
              </w:rPr>
              <w:t>Да, может не принимать</w:t>
            </w:r>
          </w:p>
        </w:tc>
        <w:tc>
          <w:tcPr>
            <w:tcW w:type="dxa" w:w="5040"/>
            <w:vAlign w:val="top"/>
            <w:tcMar>
              <w:top w:w="100" w:type="dxa"/>
              <w:start w:w="120" w:type="dxa"/>
              <w:bottom w:w="100" w:type="dxa"/>
              <w:end w:w="120" w:type="dxa"/>
            </w:tcMar>
          </w:tcPr>
          <w:p>
            <w:pPr>
              <w:spacing w:after="0"/>
            </w:pPr>
            <w:r>
              <w:rPr>
                <w:rFonts w:ascii="Arial" w:hAnsi="Arial"/>
                <w:color w:val="2B313A"/>
                <w:sz w:val="17"/>
              </w:rPr>
              <w:t>Даже если совокупная выручка компании выше порога.</w:t>
            </w:r>
          </w:p>
        </w:tc>
      </w:tr>
      <w:tr>
        <w:tc>
          <w:tcPr>
            <w:tcW w:type="dxa" w:w="2304"/>
            <w:vAlign w:val="top"/>
            <w:tcMar>
              <w:top w:w="100" w:type="dxa"/>
              <w:start w:w="120" w:type="dxa"/>
              <w:bottom w:w="100" w:type="dxa"/>
              <w:end w:w="120" w:type="dxa"/>
            </w:tcMar>
            <w:shd w:fill="FBF9F5"/>
          </w:tcPr>
          <w:p>
            <w:pPr>
              <w:spacing w:after="0"/>
            </w:pPr>
            <w:r>
              <w:rPr>
                <w:rFonts w:ascii="Arial" w:hAnsi="Arial"/>
                <w:color w:val="2B313A"/>
                <w:sz w:val="17"/>
              </w:rPr>
              <w:t>Нет доступа к интернету</w:t>
            </w:r>
          </w:p>
        </w:tc>
        <w:tc>
          <w:tcPr>
            <w:tcW w:type="dxa" w:w="2160"/>
            <w:vAlign w:val="top"/>
            <w:tcMar>
              <w:top w:w="100" w:type="dxa"/>
              <w:start w:w="120" w:type="dxa"/>
              <w:bottom w:w="100" w:type="dxa"/>
              <w:end w:w="120" w:type="dxa"/>
            </w:tcMar>
            <w:shd w:fill="FBF9F5"/>
          </w:tcPr>
          <w:p>
            <w:pPr>
              <w:spacing w:after="0"/>
            </w:pPr>
            <w:r>
              <w:rPr>
                <w:rFonts w:ascii="Arial" w:hAnsi="Arial"/>
                <w:color w:val="2B313A"/>
                <w:sz w:val="17"/>
              </w:rPr>
              <w:t>Да, исключение</w:t>
            </w:r>
          </w:p>
        </w:tc>
        <w:tc>
          <w:tcPr>
            <w:tcW w:type="dxa" w:w="5040"/>
            <w:vAlign w:val="top"/>
            <w:tcMar>
              <w:top w:w="100" w:type="dxa"/>
              <w:start w:w="120" w:type="dxa"/>
              <w:bottom w:w="100" w:type="dxa"/>
              <w:end w:w="120" w:type="dxa"/>
            </w:tcMar>
            <w:shd w:fill="FBF9F5"/>
          </w:tcPr>
          <w:p>
            <w:pPr>
              <w:spacing w:after="0"/>
            </w:pPr>
            <w:r>
              <w:rPr>
                <w:rFonts w:ascii="Arial" w:hAnsi="Arial"/>
                <w:color w:val="2B313A"/>
                <w:sz w:val="17"/>
              </w:rPr>
              <w:t>Офлайн-платежи цифровым рублем без интернета пока не являются массовым рабочим сценарием.</w:t>
            </w:r>
          </w:p>
        </w:tc>
      </w:tr>
      <w:tr>
        <w:tc>
          <w:tcPr>
            <w:tcW w:type="dxa" w:w="2304"/>
            <w:vAlign w:val="top"/>
            <w:tcMar>
              <w:top w:w="100" w:type="dxa"/>
              <w:start w:w="120" w:type="dxa"/>
              <w:bottom w:w="100" w:type="dxa"/>
              <w:end w:w="120" w:type="dxa"/>
            </w:tcMar>
          </w:tcPr>
          <w:p>
            <w:pPr>
              <w:spacing w:after="0"/>
            </w:pPr>
            <w:r>
              <w:rPr>
                <w:rFonts w:ascii="Arial" w:hAnsi="Arial"/>
                <w:color w:val="2B313A"/>
                <w:sz w:val="17"/>
              </w:rPr>
              <w:t>Сайт / приложение</w:t>
            </w:r>
          </w:p>
        </w:tc>
        <w:tc>
          <w:tcPr>
            <w:tcW w:type="dxa" w:w="2160"/>
            <w:vAlign w:val="top"/>
            <w:tcMar>
              <w:top w:w="100" w:type="dxa"/>
              <w:start w:w="120" w:type="dxa"/>
              <w:bottom w:w="100" w:type="dxa"/>
              <w:end w:w="120" w:type="dxa"/>
            </w:tcMar>
          </w:tcPr>
          <w:p>
            <w:pPr>
              <w:spacing w:after="0"/>
            </w:pPr>
            <w:r>
              <w:rPr>
                <w:rFonts w:ascii="Arial" w:hAnsi="Arial"/>
                <w:color w:val="2B313A"/>
                <w:sz w:val="17"/>
              </w:rPr>
              <w:t>Проверить отдельно</w:t>
            </w:r>
          </w:p>
        </w:tc>
        <w:tc>
          <w:tcPr>
            <w:tcW w:type="dxa" w:w="5040"/>
            <w:vAlign w:val="top"/>
            <w:tcMar>
              <w:top w:w="100" w:type="dxa"/>
              <w:start w:w="120" w:type="dxa"/>
              <w:bottom w:w="100" w:type="dxa"/>
              <w:end w:w="120" w:type="dxa"/>
            </w:tcMar>
          </w:tcPr>
          <w:p>
            <w:pPr>
              <w:spacing w:after="0"/>
            </w:pPr>
            <w:r>
              <w:rPr>
                <w:rFonts w:ascii="Arial" w:hAnsi="Arial"/>
                <w:color w:val="2B313A"/>
                <w:sz w:val="17"/>
              </w:rPr>
              <w:t>Банк России подтверждает техническую возможность онлайн-приема.</w:t>
            </w:r>
          </w:p>
        </w:tc>
      </w:tr>
      <w:tr>
        <w:tc>
          <w:tcPr>
            <w:tcW w:type="dxa" w:w="2304"/>
            <w:vAlign w:val="top"/>
            <w:tcMar>
              <w:top w:w="100" w:type="dxa"/>
              <w:start w:w="120" w:type="dxa"/>
              <w:bottom w:w="100" w:type="dxa"/>
              <w:end w:w="120" w:type="dxa"/>
            </w:tcMar>
            <w:shd w:fill="FBF9F5"/>
          </w:tcPr>
          <w:p>
            <w:pPr>
              <w:spacing w:after="0"/>
            </w:pPr>
            <w:r>
              <w:rPr>
                <w:rFonts w:ascii="Arial" w:hAnsi="Arial"/>
                <w:color w:val="2B313A"/>
                <w:sz w:val="17"/>
              </w:rPr>
              <w:t>Подписка</w:t>
            </w:r>
          </w:p>
        </w:tc>
        <w:tc>
          <w:tcPr>
            <w:tcW w:type="dxa" w:w="2160"/>
            <w:vAlign w:val="top"/>
            <w:tcMar>
              <w:top w:w="100" w:type="dxa"/>
              <w:start w:w="120" w:type="dxa"/>
              <w:bottom w:w="100" w:type="dxa"/>
              <w:end w:w="120" w:type="dxa"/>
            </w:tcMar>
            <w:shd w:fill="FBF9F5"/>
          </w:tcPr>
          <w:p>
            <w:pPr>
              <w:spacing w:after="0"/>
            </w:pPr>
            <w:r>
              <w:rPr>
                <w:rFonts w:ascii="Arial" w:hAnsi="Arial"/>
                <w:color w:val="2B313A"/>
                <w:sz w:val="17"/>
              </w:rPr>
              <w:t>Особый сценарий</w:t>
            </w:r>
          </w:p>
        </w:tc>
        <w:tc>
          <w:tcPr>
            <w:tcW w:type="dxa" w:w="5040"/>
            <w:vAlign w:val="top"/>
            <w:tcMar>
              <w:top w:w="100" w:type="dxa"/>
              <w:start w:w="120" w:type="dxa"/>
              <w:bottom w:w="100" w:type="dxa"/>
              <w:end w:w="120" w:type="dxa"/>
            </w:tcMar>
            <w:shd w:fill="FBF9F5"/>
          </w:tcPr>
          <w:p>
            <w:pPr>
              <w:spacing w:after="0"/>
            </w:pPr>
            <w:r>
              <w:rPr>
                <w:rFonts w:ascii="Arial" w:hAnsi="Arial"/>
                <w:color w:val="2B313A"/>
                <w:sz w:val="17"/>
              </w:rPr>
              <w:t>Если платежи только по подписке и функционал платформы не реализован — подключение после появления функционала.</w:t>
            </w:r>
          </w:p>
        </w:tc>
      </w:tr>
    </w:tbl>
    <w:p>
      <w:pPr>
        <w:pStyle w:val="Heading1"/>
      </w:pPr>
      <w:r>
        <w:t>6. Пять типовых кейсов</w:t>
      </w:r>
    </w:p>
    <w:p>
      <w:r>
        <w:rPr>
          <w:b/>
          <w:color w:val="102238"/>
        </w:rPr>
        <w:t xml:space="preserve">Сеть, 150 млн ₽, B2C, значимый банк на 01.01.2026: </w:t>
      </w:r>
      <w:r>
        <w:t>Первый этап. Проверить все точки; точки &lt;5 млн ₽ могут быть исключены.</w:t>
      </w:r>
    </w:p>
    <w:p>
      <w:r>
        <w:rPr>
          <w:b/>
          <w:color w:val="102238"/>
        </w:rPr>
        <w:t xml:space="preserve">Компания, 150 млн ₽, стала клиентом значимого банка только 01.08.2026: </w:t>
      </w:r>
      <w:r>
        <w:t>Первый этап по этому условию не возникает; определить следующий срок.</w:t>
      </w:r>
    </w:p>
    <w:p>
      <w:r>
        <w:rPr>
          <w:b/>
          <w:color w:val="102238"/>
        </w:rPr>
        <w:t xml:space="preserve">Оптовик, 500 млн ₽, продажи только юрлицам: </w:t>
      </w:r>
      <w:r>
        <w:t>Потребительской обязанности приема цифрового рубля нет.</w:t>
      </w:r>
    </w:p>
    <w:p>
      <w:r>
        <w:rPr>
          <w:b/>
          <w:color w:val="102238"/>
        </w:rPr>
        <w:t xml:space="preserve">Компания, 50 млн ₽, B2C: </w:t>
      </w:r>
      <w:r>
        <w:t>Не 2026. Проверить условия 2027; если они не выполняются — готовиться к 2028.</w:t>
      </w:r>
    </w:p>
    <w:p>
      <w:r>
        <w:t>ИП с розничной точкой: статус нужно проверять отдельно по актуальным разъяснениям Банка России и условиям банка. Не переносите график и технические сценарии для юридических лиц на ИП автоматически.</w:t>
      </w:r>
    </w:p>
    <w:p>
      <w:r>
        <w:br w:type="page"/>
      </w:r>
    </w:p>
    <w:p>
      <w:pPr>
        <w:pStyle w:val="Heading1"/>
      </w:pPr>
      <w:r>
        <w:t>7. Как устроен платежный контур</w:t>
      </w:r>
    </w:p>
    <w:p>
      <w:pPr>
        <w:ind w:left="259" w:hanging="259"/>
      </w:pPr>
      <w:r>
        <w:rPr>
          <w:b/>
          <w:color w:val="C99A42"/>
        </w:rPr>
        <w:t xml:space="preserve">1. </w:t>
      </w:r>
      <w:r>
        <w:t>Клиент выбирает цифровой рубль как способ оплаты.</w:t>
      </w:r>
    </w:p>
    <w:p>
      <w:pPr>
        <w:ind w:left="259" w:hanging="259"/>
      </w:pPr>
      <w:r>
        <w:rPr>
          <w:b/>
          <w:color w:val="C99A42"/>
        </w:rPr>
        <w:t xml:space="preserve">2. </w:t>
      </w:r>
      <w:r>
        <w:t>Касса, POS, сайт или приложение инициируют платеж через решение банка/платежного контура.</w:t>
      </w:r>
    </w:p>
    <w:p>
      <w:pPr>
        <w:ind w:left="259" w:hanging="259"/>
      </w:pPr>
      <w:r>
        <w:rPr>
          <w:b/>
          <w:color w:val="C99A42"/>
        </w:rPr>
        <w:t xml:space="preserve">3. </w:t>
      </w:r>
      <w:r>
        <w:t>Операция проходит через инфраструктуру банка к платформе Банка России.</w:t>
      </w:r>
    </w:p>
    <w:p>
      <w:pPr>
        <w:ind w:left="259" w:hanging="259"/>
      </w:pPr>
      <w:r>
        <w:rPr>
          <w:b/>
          <w:color w:val="C99A42"/>
        </w:rPr>
        <w:t xml:space="preserve">4. </w:t>
      </w:r>
      <w:r>
        <w:t>Продавец получает финальный статус и только после него завершает продажу/заказ.</w:t>
      </w:r>
    </w:p>
    <w:p>
      <w:pPr>
        <w:ind w:left="259" w:hanging="259"/>
      </w:pPr>
      <w:r>
        <w:rPr>
          <w:b/>
          <w:color w:val="C99A42"/>
        </w:rPr>
        <w:t xml:space="preserve">5. </w:t>
      </w:r>
      <w:r>
        <w:t>Данные операции попадают в реестр/выписку для сверки и учета.</w:t>
      </w:r>
    </w:p>
    <w:p>
      <w:pPr>
        <w:ind w:left="259" w:hanging="259"/>
      </w:pPr>
      <w:r>
        <w:rPr>
          <w:b/>
          <w:color w:val="C99A42"/>
        </w:rPr>
        <w:t xml:space="preserve">6. </w:t>
      </w:r>
      <w:r>
        <w:t>При возврате используется отдельный сценарий возврата цифровых рублей.</w:t>
      </w:r>
    </w:p>
    <w:p>
      <w:r>
        <w:t>Банк России указывает, что торгово-сервисным предприятиям, уже принимающим СБП, специальное новое оборудование может не понадобиться: можно использовать существующие онлайн-каналы и терминалы после настройки. Поэтому покупать новый терминал до ответа банка — плохая стратегия.</w:t>
      </w:r>
    </w:p>
    <w:p>
      <w:pPr>
        <w:pStyle w:val="Heading1"/>
      </w:pPr>
      <w:r>
        <w:t>8. Универсальный QR и существующее оборудование</w:t>
      </w:r>
    </w:p>
    <w:p>
      <w:r>
        <w:t>С 1 сентября 2026 года банковская инфраструктура должна быть готова к универсальному QR-коду НСПК. Он предназначен для доступа к разным способам оплаты, включая СБП, банковские платежные сервисы и, по мере подключения, цифровой рубль. Для бизнеса практический вывод простой: при модернизации касс и POS проверяйте совместимость с универсальным QR, а не создавайте отдельный «зоопарк» QR-кодов.</w:t>
      </w:r>
    </w:p>
    <w:p>
      <w:pPr>
        <w:ind w:left="230" w:hanging="144"/>
      </w:pPr>
      <w:r>
        <w:rPr>
          <w:b/>
        </w:rPr>
        <w:t xml:space="preserve">• </w:t>
      </w:r>
      <w:r>
        <w:t>не заказывайте отдельный физический стенд/терминал только из-за цифрового рубля без требований банка;</w:t>
      </w:r>
    </w:p>
    <w:p>
      <w:pPr>
        <w:ind w:left="230" w:hanging="144"/>
      </w:pPr>
      <w:r>
        <w:rPr>
          <w:b/>
        </w:rPr>
        <w:t xml:space="preserve">• </w:t>
      </w:r>
      <w:r>
        <w:t>проверьте версию ПО терминала и кассового модуля;</w:t>
      </w:r>
    </w:p>
    <w:p>
      <w:pPr>
        <w:ind w:left="230" w:hanging="144"/>
      </w:pPr>
      <w:r>
        <w:rPr>
          <w:b/>
        </w:rPr>
        <w:t xml:space="preserve">• </w:t>
      </w:r>
      <w:r>
        <w:t>для интернет-магазина уточните метод интеграции, callback и статус возврата;</w:t>
      </w:r>
    </w:p>
    <w:p>
      <w:pPr>
        <w:ind w:left="230" w:hanging="144"/>
      </w:pPr>
      <w:r>
        <w:rPr>
          <w:b/>
        </w:rPr>
        <w:t xml:space="preserve">• </w:t>
      </w:r>
      <w:r>
        <w:t>для мобильного приложения проверьте обновление SDK/платежного модуля.</w:t>
      </w:r>
    </w:p>
    <w:p>
      <w:pPr>
        <w:pStyle w:val="Heading1"/>
      </w:pPr>
      <w:r>
        <w:t>9. Счет цифрового рубля и роль банка</w:t>
      </w:r>
    </w:p>
    <w:p>
      <w:r>
        <w:t>Компания заключает договор счета цифрового рубля с оператором платформы — Банком России — через ДБО подключенного банка. Банк выступает каналом доступа и поставляет конкретное техническое решение. На 6 сентября 2026 года Банк России сообщает, что крупнейшие системно значимые банки готовы к запуску 1 сентября, а процесс подключения к платформе охватывает более 130 банков.</w:t>
      </w:r>
    </w:p>
    <w:p>
      <w:r>
        <w:t>Внутри компании назначьте владельцев:</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2880"/>
            <w:shd w:fill="102238"/>
            <w:vAlign w:val="center"/>
            <w:tcMar>
              <w:top w:w="100" w:type="dxa"/>
              <w:start w:w="120" w:type="dxa"/>
              <w:bottom w:w="100" w:type="dxa"/>
              <w:end w:w="120" w:type="dxa"/>
            </w:tcMar>
          </w:tcPr>
          <w:p>
            <w:pPr>
              <w:jc w:val="left"/>
            </w:pPr>
            <w:r>
              <w:rPr>
                <w:rFonts w:ascii="Arial" w:hAnsi="Arial"/>
                <w:b/>
                <w:color w:val="FFFFFF"/>
                <w:sz w:val="17"/>
              </w:rPr>
              <w:t>Роль</w:t>
            </w:r>
          </w:p>
        </w:tc>
        <w:tc>
          <w:tcPr>
            <w:tcW w:type="dxa" w:w="6336"/>
            <w:shd w:fill="102238"/>
            <w:vAlign w:val="center"/>
            <w:tcMar>
              <w:top w:w="100" w:type="dxa"/>
              <w:start w:w="120" w:type="dxa"/>
              <w:bottom w:w="100" w:type="dxa"/>
              <w:end w:w="120" w:type="dxa"/>
            </w:tcMar>
          </w:tcPr>
          <w:p>
            <w:pPr>
              <w:jc w:val="left"/>
            </w:pPr>
            <w:r>
              <w:rPr>
                <w:rFonts w:ascii="Arial" w:hAnsi="Arial"/>
                <w:b/>
                <w:color w:val="FFFFFF"/>
                <w:sz w:val="17"/>
              </w:rPr>
              <w:t>Зона ответственности</w:t>
            </w:r>
          </w:p>
        </w:tc>
      </w:tr>
      <w:tr>
        <w:tc>
          <w:tcPr>
            <w:tcW w:type="dxa" w:w="2880"/>
            <w:vAlign w:val="top"/>
            <w:tcMar>
              <w:top w:w="100" w:type="dxa"/>
              <w:start w:w="120" w:type="dxa"/>
              <w:bottom w:w="100" w:type="dxa"/>
              <w:end w:w="120" w:type="dxa"/>
            </w:tcMar>
          </w:tcPr>
          <w:p>
            <w:pPr>
              <w:spacing w:after="0"/>
            </w:pPr>
            <w:r>
              <w:rPr>
                <w:rFonts w:ascii="Arial" w:hAnsi="Arial"/>
                <w:color w:val="2B313A"/>
                <w:sz w:val="17"/>
              </w:rPr>
              <w:t>Финансы/казначейство</w:t>
            </w:r>
          </w:p>
        </w:tc>
        <w:tc>
          <w:tcPr>
            <w:tcW w:type="dxa" w:w="6336"/>
            <w:vAlign w:val="top"/>
            <w:tcMar>
              <w:top w:w="100" w:type="dxa"/>
              <w:start w:w="120" w:type="dxa"/>
              <w:bottom w:w="100" w:type="dxa"/>
              <w:end w:w="120" w:type="dxa"/>
            </w:tcMar>
          </w:tcPr>
          <w:p>
            <w:pPr>
              <w:spacing w:after="0"/>
            </w:pPr>
            <w:r>
              <w:rPr>
                <w:rFonts w:ascii="Arial" w:hAnsi="Arial"/>
                <w:color w:val="2B313A"/>
                <w:sz w:val="17"/>
              </w:rPr>
              <w:t>счет, договор, тарифы, сверка</w:t>
            </w:r>
          </w:p>
        </w:tc>
      </w:tr>
      <w:tr>
        <w:tc>
          <w:tcPr>
            <w:tcW w:type="dxa" w:w="2880"/>
            <w:vAlign w:val="top"/>
            <w:tcMar>
              <w:top w:w="100" w:type="dxa"/>
              <w:start w:w="120" w:type="dxa"/>
              <w:bottom w:w="100" w:type="dxa"/>
              <w:end w:w="120" w:type="dxa"/>
            </w:tcMar>
            <w:shd w:fill="FBF9F5"/>
          </w:tcPr>
          <w:p>
            <w:pPr>
              <w:spacing w:after="0"/>
            </w:pPr>
            <w:r>
              <w:rPr>
                <w:rFonts w:ascii="Arial" w:hAnsi="Arial"/>
                <w:color w:val="2B313A"/>
                <w:sz w:val="17"/>
              </w:rPr>
              <w:t>ИТ/интегратор</w:t>
            </w:r>
          </w:p>
        </w:tc>
        <w:tc>
          <w:tcPr>
            <w:tcW w:type="dxa" w:w="6336"/>
            <w:vAlign w:val="top"/>
            <w:tcMar>
              <w:top w:w="100" w:type="dxa"/>
              <w:start w:w="120" w:type="dxa"/>
              <w:bottom w:w="100" w:type="dxa"/>
              <w:end w:w="120" w:type="dxa"/>
            </w:tcMar>
            <w:shd w:fill="FBF9F5"/>
          </w:tcPr>
          <w:p>
            <w:pPr>
              <w:spacing w:after="0"/>
            </w:pPr>
            <w:r>
              <w:rPr>
                <w:rFonts w:ascii="Arial" w:hAnsi="Arial"/>
                <w:color w:val="2B313A"/>
                <w:sz w:val="17"/>
              </w:rPr>
              <w:t>касса, POS, сайт, API, callbacks</w:t>
            </w:r>
          </w:p>
        </w:tc>
      </w:tr>
      <w:tr>
        <w:tc>
          <w:tcPr>
            <w:tcW w:type="dxa" w:w="2880"/>
            <w:vAlign w:val="top"/>
            <w:tcMar>
              <w:top w:w="100" w:type="dxa"/>
              <w:start w:w="120" w:type="dxa"/>
              <w:bottom w:w="100" w:type="dxa"/>
              <w:end w:w="120" w:type="dxa"/>
            </w:tcMar>
          </w:tcPr>
          <w:p>
            <w:pPr>
              <w:spacing w:after="0"/>
            </w:pPr>
            <w:r>
              <w:rPr>
                <w:rFonts w:ascii="Arial" w:hAnsi="Arial"/>
                <w:color w:val="2B313A"/>
                <w:sz w:val="17"/>
              </w:rPr>
              <w:t>Бухгалтерия</w:t>
            </w:r>
          </w:p>
        </w:tc>
        <w:tc>
          <w:tcPr>
            <w:tcW w:type="dxa" w:w="6336"/>
            <w:vAlign w:val="top"/>
            <w:tcMar>
              <w:top w:w="100" w:type="dxa"/>
              <w:start w:w="120" w:type="dxa"/>
              <w:bottom w:w="100" w:type="dxa"/>
              <w:end w:w="120" w:type="dxa"/>
            </w:tcMar>
          </w:tcPr>
          <w:p>
            <w:pPr>
              <w:spacing w:after="0"/>
            </w:pPr>
            <w:r>
              <w:rPr>
                <w:rFonts w:ascii="Arial" w:hAnsi="Arial"/>
                <w:color w:val="2B313A"/>
                <w:sz w:val="17"/>
              </w:rPr>
              <w:t>проводки, выгрузки, реестры</w:t>
            </w:r>
          </w:p>
        </w:tc>
      </w:tr>
      <w:tr>
        <w:tc>
          <w:tcPr>
            <w:tcW w:type="dxa" w:w="2880"/>
            <w:vAlign w:val="top"/>
            <w:tcMar>
              <w:top w:w="100" w:type="dxa"/>
              <w:start w:w="120" w:type="dxa"/>
              <w:bottom w:w="100" w:type="dxa"/>
              <w:end w:w="120" w:type="dxa"/>
            </w:tcMar>
            <w:shd w:fill="FBF9F5"/>
          </w:tcPr>
          <w:p>
            <w:pPr>
              <w:spacing w:after="0"/>
            </w:pPr>
            <w:r>
              <w:rPr>
                <w:rFonts w:ascii="Arial" w:hAnsi="Arial"/>
                <w:color w:val="2B313A"/>
                <w:sz w:val="17"/>
              </w:rPr>
              <w:t>Розница/операции</w:t>
            </w:r>
          </w:p>
        </w:tc>
        <w:tc>
          <w:tcPr>
            <w:tcW w:type="dxa" w:w="6336"/>
            <w:vAlign w:val="top"/>
            <w:tcMar>
              <w:top w:w="100" w:type="dxa"/>
              <w:start w:w="120" w:type="dxa"/>
              <w:bottom w:w="100" w:type="dxa"/>
              <w:end w:w="120" w:type="dxa"/>
            </w:tcMar>
            <w:shd w:fill="FBF9F5"/>
          </w:tcPr>
          <w:p>
            <w:pPr>
              <w:spacing w:after="0"/>
            </w:pPr>
            <w:r>
              <w:rPr>
                <w:rFonts w:ascii="Arial" w:hAnsi="Arial"/>
                <w:color w:val="2B313A"/>
                <w:sz w:val="17"/>
              </w:rPr>
              <w:t>инструкция кассиру, возвраты, клиентский сценарий</w:t>
            </w:r>
          </w:p>
        </w:tc>
      </w:tr>
      <w:tr>
        <w:tc>
          <w:tcPr>
            <w:tcW w:type="dxa" w:w="2880"/>
            <w:vAlign w:val="top"/>
            <w:tcMar>
              <w:top w:w="100" w:type="dxa"/>
              <w:start w:w="120" w:type="dxa"/>
              <w:bottom w:w="100" w:type="dxa"/>
              <w:end w:w="120" w:type="dxa"/>
            </w:tcMar>
          </w:tcPr>
          <w:p>
            <w:pPr>
              <w:spacing w:after="0"/>
            </w:pPr>
            <w:r>
              <w:rPr>
                <w:rFonts w:ascii="Arial" w:hAnsi="Arial"/>
                <w:color w:val="2B313A"/>
                <w:sz w:val="17"/>
              </w:rPr>
              <w:t>Юрист/комплаенс</w:t>
            </w:r>
          </w:p>
        </w:tc>
        <w:tc>
          <w:tcPr>
            <w:tcW w:type="dxa" w:w="6336"/>
            <w:vAlign w:val="top"/>
            <w:tcMar>
              <w:top w:w="100" w:type="dxa"/>
              <w:start w:w="120" w:type="dxa"/>
              <w:bottom w:w="100" w:type="dxa"/>
              <w:end w:w="120" w:type="dxa"/>
            </w:tcMar>
          </w:tcPr>
          <w:p>
            <w:pPr>
              <w:spacing w:after="0"/>
            </w:pPr>
            <w:r>
              <w:rPr>
                <w:rFonts w:ascii="Arial" w:hAnsi="Arial"/>
                <w:color w:val="2B313A"/>
                <w:sz w:val="17"/>
              </w:rPr>
              <w:t>подтверждение обязанности и исключений</w:t>
            </w:r>
          </w:p>
        </w:tc>
      </w:tr>
    </w:tbl>
    <w:p>
      <w:r>
        <w:br w:type="page"/>
      </w:r>
    </w:p>
    <w:p>
      <w:pPr>
        <w:pStyle w:val="Heading1"/>
      </w:pPr>
      <w:r>
        <w:t>10. Учет и 1С</w:t>
      </w:r>
    </w:p>
    <w:p>
      <w:r>
        <w:t>Цифровой рубль с юридической точки зрения — разновидность безналичных денежных средств Российской Федерации. Банк России прямо указывает, что бухгалтерский учет должен вестись в привычном порядке и отдельной «второй бухгалтерии» не возникает.</w:t>
      </w:r>
    </w:p>
    <w:p>
      <w:r>
        <w:t>При этом прямой интеграции самой платформы Банка России с 1С не планируется. Следовательно, автоматизация строится через банк, интегратора, кассовое ПО или собственный обмен с учетной системой.</w:t>
      </w:r>
    </w:p>
    <w:p>
      <w:pPr>
        <w:ind w:left="230" w:hanging="144"/>
      </w:pPr>
      <w:r>
        <w:rPr>
          <w:b/>
        </w:rPr>
        <w:t xml:space="preserve">• </w:t>
      </w:r>
      <w:r>
        <w:t>определите источник истины для ежедневной сверки;</w:t>
      </w:r>
    </w:p>
    <w:p>
      <w:pPr>
        <w:ind w:left="230" w:hanging="144"/>
      </w:pPr>
      <w:r>
        <w:rPr>
          <w:b/>
        </w:rPr>
        <w:t xml:space="preserve">• </w:t>
      </w:r>
      <w:r>
        <w:t>свяжите заказ/чек с идентификатором платежа;</w:t>
      </w:r>
    </w:p>
    <w:p>
      <w:pPr>
        <w:ind w:left="230" w:hanging="144"/>
      </w:pPr>
      <w:r>
        <w:rPr>
          <w:b/>
        </w:rPr>
        <w:t xml:space="preserve">• </w:t>
      </w:r>
      <w:r>
        <w:t>проверьте полный и частичный возврат;</w:t>
      </w:r>
    </w:p>
    <w:p>
      <w:pPr>
        <w:ind w:left="230" w:hanging="144"/>
      </w:pPr>
      <w:r>
        <w:rPr>
          <w:b/>
        </w:rPr>
        <w:t xml:space="preserve">• </w:t>
      </w:r>
      <w:r>
        <w:t>зафиксируйте действия при спорном статусе и таймауте;</w:t>
      </w:r>
    </w:p>
    <w:p>
      <w:pPr>
        <w:ind w:left="230" w:hanging="144"/>
      </w:pPr>
      <w:r>
        <w:rPr>
          <w:b/>
        </w:rPr>
        <w:t xml:space="preserve">• </w:t>
      </w:r>
      <w:r>
        <w:t>не разрешайте сотруднику подтверждать оплату только по экрану телефона клиента.</w:t>
      </w:r>
    </w:p>
    <w:p>
      <w:pPr>
        <w:pStyle w:val="Heading1"/>
      </w:pPr>
      <w:r>
        <w:t>11. Тарифы и экономика</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600"/>
            <w:shd w:fill="102238"/>
            <w:vAlign w:val="center"/>
            <w:tcMar>
              <w:top w:w="100" w:type="dxa"/>
              <w:start w:w="120" w:type="dxa"/>
              <w:bottom w:w="100" w:type="dxa"/>
              <w:end w:w="120" w:type="dxa"/>
            </w:tcMar>
          </w:tcPr>
          <w:p>
            <w:pPr>
              <w:jc w:val="left"/>
            </w:pPr>
            <w:r>
              <w:rPr>
                <w:rFonts w:ascii="Arial" w:hAnsi="Arial"/>
                <w:b/>
                <w:color w:val="FFFFFF"/>
                <w:sz w:val="17"/>
              </w:rPr>
              <w:t>Операция</w:t>
            </w:r>
          </w:p>
        </w:tc>
        <w:tc>
          <w:tcPr>
            <w:tcW w:type="dxa" w:w="2016"/>
            <w:shd w:fill="102238"/>
            <w:vAlign w:val="center"/>
            <w:tcMar>
              <w:top w:w="100" w:type="dxa"/>
              <w:start w:w="120" w:type="dxa"/>
              <w:bottom w:w="100" w:type="dxa"/>
              <w:end w:w="120" w:type="dxa"/>
            </w:tcMar>
          </w:tcPr>
          <w:p>
            <w:pPr>
              <w:jc w:val="left"/>
            </w:pPr>
            <w:r>
              <w:rPr>
                <w:rFonts w:ascii="Arial" w:hAnsi="Arial"/>
                <w:b/>
                <w:color w:val="FFFFFF"/>
                <w:sz w:val="17"/>
              </w:rPr>
              <w:t>До 31.12.2026</w:t>
            </w:r>
          </w:p>
        </w:tc>
        <w:tc>
          <w:tcPr>
            <w:tcW w:type="dxa" w:w="3600"/>
            <w:shd w:fill="102238"/>
            <w:vAlign w:val="center"/>
            <w:tcMar>
              <w:top w:w="100" w:type="dxa"/>
              <w:start w:w="120" w:type="dxa"/>
              <w:bottom w:w="100" w:type="dxa"/>
              <w:end w:w="120" w:type="dxa"/>
            </w:tcMar>
          </w:tcPr>
          <w:p>
            <w:pPr>
              <w:jc w:val="left"/>
            </w:pPr>
            <w:r>
              <w:rPr>
                <w:rFonts w:ascii="Arial" w:hAnsi="Arial"/>
                <w:b/>
                <w:color w:val="FFFFFF"/>
                <w:sz w:val="17"/>
              </w:rPr>
              <w:t>С 01.01.2027</w:t>
            </w:r>
          </w:p>
        </w:tc>
      </w:tr>
      <w:tr>
        <w:tc>
          <w:tcPr>
            <w:tcW w:type="dxa" w:w="3600"/>
            <w:vAlign w:val="top"/>
            <w:tcMar>
              <w:top w:w="100" w:type="dxa"/>
              <w:start w:w="120" w:type="dxa"/>
              <w:bottom w:w="100" w:type="dxa"/>
              <w:end w:w="120" w:type="dxa"/>
            </w:tcMar>
          </w:tcPr>
          <w:p>
            <w:pPr>
              <w:spacing w:after="0"/>
            </w:pPr>
            <w:r>
              <w:rPr>
                <w:rFonts w:ascii="Arial" w:hAnsi="Arial"/>
                <w:color w:val="2B313A"/>
                <w:sz w:val="17"/>
              </w:rPr>
              <w:t>C2B: физлицо → бизнес</w:t>
            </w:r>
          </w:p>
        </w:tc>
        <w:tc>
          <w:tcPr>
            <w:tcW w:type="dxa" w:w="2016"/>
            <w:vAlign w:val="top"/>
            <w:tcMar>
              <w:top w:w="100" w:type="dxa"/>
              <w:start w:w="120" w:type="dxa"/>
              <w:bottom w:w="100" w:type="dxa"/>
              <w:end w:w="120" w:type="dxa"/>
            </w:tcMar>
          </w:tcPr>
          <w:p>
            <w:pPr>
              <w:spacing w:after="0"/>
            </w:pPr>
            <w:r>
              <w:rPr>
                <w:rFonts w:ascii="Arial" w:hAnsi="Arial"/>
                <w:color w:val="2B313A"/>
                <w:sz w:val="17"/>
              </w:rPr>
              <w:t>0%</w:t>
            </w:r>
          </w:p>
        </w:tc>
        <w:tc>
          <w:tcPr>
            <w:tcW w:type="dxa" w:w="3600"/>
            <w:vAlign w:val="top"/>
            <w:tcMar>
              <w:top w:w="100" w:type="dxa"/>
              <w:start w:w="120" w:type="dxa"/>
              <w:bottom w:w="100" w:type="dxa"/>
              <w:end w:w="120" w:type="dxa"/>
            </w:tcMar>
          </w:tcPr>
          <w:p>
            <w:pPr>
              <w:spacing w:after="0"/>
            </w:pPr>
            <w:r>
              <w:rPr>
                <w:rFonts w:ascii="Arial" w:hAnsi="Arial"/>
                <w:color w:val="2B313A"/>
                <w:sz w:val="17"/>
              </w:rPr>
              <w:t>0,3%, максимум 1 500 ₽ за перевод</w:t>
            </w:r>
          </w:p>
        </w:tc>
      </w:tr>
      <w:tr>
        <w:tc>
          <w:tcPr>
            <w:tcW w:type="dxa" w:w="3600"/>
            <w:vAlign w:val="top"/>
            <w:tcMar>
              <w:top w:w="100" w:type="dxa"/>
              <w:start w:w="120" w:type="dxa"/>
              <w:bottom w:w="100" w:type="dxa"/>
              <w:end w:w="120" w:type="dxa"/>
            </w:tcMar>
            <w:shd w:fill="FBF9F5"/>
          </w:tcPr>
          <w:p>
            <w:pPr>
              <w:spacing w:after="0"/>
            </w:pPr>
            <w:r>
              <w:rPr>
                <w:rFonts w:ascii="Arial" w:hAnsi="Arial"/>
                <w:color w:val="2B313A"/>
                <w:sz w:val="17"/>
              </w:rPr>
              <w:t>C2B ЖКУ</w:t>
            </w:r>
          </w:p>
        </w:tc>
        <w:tc>
          <w:tcPr>
            <w:tcW w:type="dxa" w:w="2016"/>
            <w:vAlign w:val="top"/>
            <w:tcMar>
              <w:top w:w="100" w:type="dxa"/>
              <w:start w:w="120" w:type="dxa"/>
              <w:bottom w:w="100" w:type="dxa"/>
              <w:end w:w="120" w:type="dxa"/>
            </w:tcMar>
            <w:shd w:fill="FBF9F5"/>
          </w:tcPr>
          <w:p>
            <w:pPr>
              <w:spacing w:after="0"/>
            </w:pPr>
            <w:r>
              <w:rPr>
                <w:rFonts w:ascii="Arial" w:hAnsi="Arial"/>
                <w:color w:val="2B313A"/>
                <w:sz w:val="17"/>
              </w:rPr>
              <w:t>0%</w:t>
            </w:r>
          </w:p>
        </w:tc>
        <w:tc>
          <w:tcPr>
            <w:tcW w:type="dxa" w:w="3600"/>
            <w:vAlign w:val="top"/>
            <w:tcMar>
              <w:top w:w="100" w:type="dxa"/>
              <w:start w:w="120" w:type="dxa"/>
              <w:bottom w:w="100" w:type="dxa"/>
              <w:end w:w="120" w:type="dxa"/>
            </w:tcMar>
            <w:shd w:fill="FBF9F5"/>
          </w:tcPr>
          <w:p>
            <w:pPr>
              <w:spacing w:after="0"/>
            </w:pPr>
            <w:r>
              <w:rPr>
                <w:rFonts w:ascii="Arial" w:hAnsi="Arial"/>
                <w:color w:val="2B313A"/>
                <w:sz w:val="17"/>
              </w:rPr>
              <w:t>0,2%, максимум 10 ₽ за перевод</w:t>
            </w:r>
          </w:p>
        </w:tc>
      </w:tr>
      <w:tr>
        <w:tc>
          <w:tcPr>
            <w:tcW w:type="dxa" w:w="3600"/>
            <w:vAlign w:val="top"/>
            <w:tcMar>
              <w:top w:w="100" w:type="dxa"/>
              <w:start w:w="120" w:type="dxa"/>
              <w:bottom w:w="100" w:type="dxa"/>
              <w:end w:w="120" w:type="dxa"/>
            </w:tcMar>
          </w:tcPr>
          <w:p>
            <w:pPr>
              <w:spacing w:after="0"/>
            </w:pPr>
            <w:r>
              <w:rPr>
                <w:rFonts w:ascii="Arial" w:hAnsi="Arial"/>
                <w:color w:val="2B313A"/>
                <w:sz w:val="17"/>
              </w:rPr>
              <w:t>B2B: юрлицо → юрлицо</w:t>
            </w:r>
          </w:p>
        </w:tc>
        <w:tc>
          <w:tcPr>
            <w:tcW w:type="dxa" w:w="2016"/>
            <w:vAlign w:val="top"/>
            <w:tcMar>
              <w:top w:w="100" w:type="dxa"/>
              <w:start w:w="120" w:type="dxa"/>
              <w:bottom w:w="100" w:type="dxa"/>
              <w:end w:w="120" w:type="dxa"/>
            </w:tcMar>
          </w:tcPr>
          <w:p>
            <w:pPr>
              <w:spacing w:after="0"/>
            </w:pPr>
            <w:r>
              <w:rPr>
                <w:rFonts w:ascii="Arial" w:hAnsi="Arial"/>
                <w:color w:val="2B313A"/>
                <w:sz w:val="17"/>
              </w:rPr>
              <w:t>0 ₽</w:t>
            </w:r>
          </w:p>
        </w:tc>
        <w:tc>
          <w:tcPr>
            <w:tcW w:type="dxa" w:w="3600"/>
            <w:vAlign w:val="top"/>
            <w:tcMar>
              <w:top w:w="100" w:type="dxa"/>
              <w:start w:w="120" w:type="dxa"/>
              <w:bottom w:w="100" w:type="dxa"/>
              <w:end w:w="120" w:type="dxa"/>
            </w:tcMar>
          </w:tcPr>
          <w:p>
            <w:pPr>
              <w:spacing w:after="0"/>
            </w:pPr>
            <w:r>
              <w:rPr>
                <w:rFonts w:ascii="Arial" w:hAnsi="Arial"/>
                <w:color w:val="2B313A"/>
                <w:sz w:val="17"/>
              </w:rPr>
              <w:t>15 ₽ за перевод</w:t>
            </w:r>
          </w:p>
        </w:tc>
      </w:tr>
      <w:tr>
        <w:tc>
          <w:tcPr>
            <w:tcW w:type="dxa" w:w="3600"/>
            <w:vAlign w:val="top"/>
            <w:tcMar>
              <w:top w:w="100" w:type="dxa"/>
              <w:start w:w="120" w:type="dxa"/>
              <w:bottom w:w="100" w:type="dxa"/>
              <w:end w:w="120" w:type="dxa"/>
            </w:tcMar>
            <w:shd w:fill="FBF9F5"/>
          </w:tcPr>
          <w:p>
            <w:pPr>
              <w:spacing w:after="0"/>
            </w:pPr>
            <w:r>
              <w:rPr>
                <w:rFonts w:ascii="Arial" w:hAnsi="Arial"/>
                <w:color w:val="2B313A"/>
                <w:sz w:val="17"/>
              </w:rPr>
              <w:t>Возврат бизнес → физлицо</w:t>
            </w:r>
          </w:p>
        </w:tc>
        <w:tc>
          <w:tcPr>
            <w:tcW w:type="dxa" w:w="2016"/>
            <w:vAlign w:val="top"/>
            <w:tcMar>
              <w:top w:w="100" w:type="dxa"/>
              <w:start w:w="120" w:type="dxa"/>
              <w:bottom w:w="100" w:type="dxa"/>
              <w:end w:w="120" w:type="dxa"/>
            </w:tcMar>
            <w:shd w:fill="FBF9F5"/>
          </w:tcPr>
          <w:p>
            <w:pPr>
              <w:spacing w:after="0"/>
            </w:pPr>
            <w:r>
              <w:rPr>
                <w:rFonts w:ascii="Arial" w:hAnsi="Arial"/>
                <w:color w:val="2B313A"/>
                <w:sz w:val="17"/>
              </w:rPr>
              <w:t>0%</w:t>
            </w:r>
          </w:p>
        </w:tc>
        <w:tc>
          <w:tcPr>
            <w:tcW w:type="dxa" w:w="3600"/>
            <w:vAlign w:val="top"/>
            <w:tcMar>
              <w:top w:w="100" w:type="dxa"/>
              <w:start w:w="120" w:type="dxa"/>
              <w:bottom w:w="100" w:type="dxa"/>
              <w:end w:w="120" w:type="dxa"/>
            </w:tcMar>
            <w:shd w:fill="FBF9F5"/>
          </w:tcPr>
          <w:p>
            <w:pPr>
              <w:spacing w:after="0"/>
            </w:pPr>
            <w:r>
              <w:rPr>
                <w:rFonts w:ascii="Arial" w:hAnsi="Arial"/>
                <w:color w:val="2B313A"/>
                <w:sz w:val="17"/>
              </w:rPr>
              <w:t>0% по опубликованной тарифной сетке</w:t>
            </w:r>
          </w:p>
        </w:tc>
      </w:tr>
    </w:tbl>
    <w:p>
      <w:r>
        <w:t>Льготный тариф оператора платформы не означает, что интеграция компании обязательно будет стоить ноль. Банк, кассовый вендор или интегратор могут иметь собственные коммерческие условия. Поэтому в Excel-модели эти затраты вводятся отдельно.</w:t>
      </w:r>
    </w:p>
    <w:p>
      <w:pPr>
        <w:pStyle w:val="Heading1"/>
      </w:pPr>
      <w:r>
        <w:t>12. Как считать выгоду</w:t>
      </w:r>
    </w:p>
    <w:p>
      <w:pPr>
        <w:ind w:left="230" w:hanging="144"/>
      </w:pPr>
      <w:r>
        <w:rPr>
          <w:b/>
        </w:rPr>
        <w:t xml:space="preserve">• </w:t>
      </w:r>
      <w:r>
        <w:t>возьмите фактический B2C-оборот, а не весь оборот компании;</w:t>
      </w:r>
    </w:p>
    <w:p>
      <w:pPr>
        <w:ind w:left="230" w:hanging="144"/>
      </w:pPr>
      <w:r>
        <w:rPr>
          <w:b/>
        </w:rPr>
        <w:t xml:space="preserve">• </w:t>
      </w:r>
      <w:r>
        <w:t>задайте реалистичную долю платежей цифровым рублем как сценарий, а не прогноз;</w:t>
      </w:r>
    </w:p>
    <w:p>
      <w:pPr>
        <w:ind w:left="230" w:hanging="144"/>
      </w:pPr>
      <w:r>
        <w:rPr>
          <w:b/>
        </w:rPr>
        <w:t xml:space="preserve">• </w:t>
      </w:r>
      <w:r>
        <w:t>сравните комиссии карт, СБП и цифрового рубля на одинаковом обороте;</w:t>
      </w:r>
    </w:p>
    <w:p>
      <w:pPr>
        <w:ind w:left="230" w:hanging="144"/>
      </w:pPr>
      <w:r>
        <w:rPr>
          <w:b/>
        </w:rPr>
        <w:t xml:space="preserve">• </w:t>
      </w:r>
      <w:r>
        <w:t>добавьте разовые затраты на интеграцию и ежемесячную поддержку;</w:t>
      </w:r>
    </w:p>
    <w:p>
      <w:pPr>
        <w:ind w:left="230" w:hanging="144"/>
      </w:pPr>
      <w:r>
        <w:rPr>
          <w:b/>
        </w:rPr>
        <w:t xml:space="preserve">• </w:t>
      </w:r>
      <w:r>
        <w:t>оцените простую окупаемость интеграции только после учета всех расходов.</w:t>
      </w:r>
    </w:p>
    <w:p>
      <w:r>
        <w:br w:type="page"/>
      </w:r>
    </w:p>
    <w:p>
      <w:pPr>
        <w:pStyle w:val="Heading1"/>
      </w:pPr>
      <w:r>
        <w:t>13. Критические риски запуска</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102238"/>
            <w:vAlign w:val="center"/>
            <w:tcMar>
              <w:top w:w="100" w:type="dxa"/>
              <w:start w:w="120" w:type="dxa"/>
              <w:bottom w:w="100" w:type="dxa"/>
              <w:end w:w="120" w:type="dxa"/>
            </w:tcMar>
          </w:tcPr>
          <w:p>
            <w:pPr>
              <w:jc w:val="left"/>
            </w:pPr>
            <w:r>
              <w:rPr>
                <w:rFonts w:ascii="Arial" w:hAnsi="Arial"/>
                <w:b/>
                <w:color w:val="FFFFFF"/>
                <w:sz w:val="17"/>
              </w:rPr>
              <w:t>Риск</w:t>
            </w:r>
          </w:p>
        </w:tc>
        <w:tc>
          <w:tcPr>
            <w:tcW w:type="dxa" w:w="1728"/>
            <w:shd w:fill="102238"/>
            <w:vAlign w:val="center"/>
            <w:tcMar>
              <w:top w:w="100" w:type="dxa"/>
              <w:start w:w="120" w:type="dxa"/>
              <w:bottom w:w="100" w:type="dxa"/>
              <w:end w:w="120" w:type="dxa"/>
            </w:tcMar>
          </w:tcPr>
          <w:p>
            <w:pPr>
              <w:jc w:val="left"/>
            </w:pPr>
            <w:r>
              <w:rPr>
                <w:rFonts w:ascii="Arial" w:hAnsi="Arial"/>
                <w:b/>
                <w:color w:val="FFFFFF"/>
                <w:sz w:val="17"/>
              </w:rPr>
              <w:t>Критичность</w:t>
            </w:r>
          </w:p>
        </w:tc>
        <w:tc>
          <w:tcPr>
            <w:tcW w:type="dxa" w:w="4032"/>
            <w:shd w:fill="102238"/>
            <w:vAlign w:val="center"/>
            <w:tcMar>
              <w:top w:w="100" w:type="dxa"/>
              <w:start w:w="120" w:type="dxa"/>
              <w:bottom w:w="100" w:type="dxa"/>
              <w:end w:w="120" w:type="dxa"/>
            </w:tcMar>
          </w:tcPr>
          <w:p>
            <w:pPr>
              <w:jc w:val="left"/>
            </w:pPr>
            <w:r>
              <w:rPr>
                <w:rFonts w:ascii="Arial" w:hAnsi="Arial"/>
                <w:b/>
                <w:color w:val="FFFFFF"/>
                <w:sz w:val="17"/>
              </w:rPr>
              <w:t>Контроль</w:t>
            </w:r>
          </w:p>
        </w:tc>
      </w:tr>
      <w:tr>
        <w:tc>
          <w:tcPr>
            <w:tcW w:type="dxa" w:w="3456"/>
            <w:vAlign w:val="top"/>
            <w:tcMar>
              <w:top w:w="100" w:type="dxa"/>
              <w:start w:w="120" w:type="dxa"/>
              <w:bottom w:w="100" w:type="dxa"/>
              <w:end w:w="120" w:type="dxa"/>
            </w:tcMar>
          </w:tcPr>
          <w:p>
            <w:pPr>
              <w:spacing w:after="0"/>
            </w:pPr>
            <w:r>
              <w:rPr>
                <w:rFonts w:ascii="Arial" w:hAnsi="Arial"/>
                <w:color w:val="2B313A"/>
                <w:sz w:val="17"/>
              </w:rPr>
              <w:t>Неверно определили обязанность</w:t>
            </w:r>
          </w:p>
        </w:tc>
        <w:tc>
          <w:tcPr>
            <w:tcW w:type="dxa" w:w="1728"/>
            <w:vAlign w:val="top"/>
            <w:tcMar>
              <w:top w:w="100" w:type="dxa"/>
              <w:start w:w="120" w:type="dxa"/>
              <w:bottom w:w="100" w:type="dxa"/>
              <w:end w:w="120" w:type="dxa"/>
            </w:tcMar>
          </w:tcPr>
          <w:p>
            <w:pPr>
              <w:spacing w:after="0"/>
            </w:pPr>
            <w:r>
              <w:rPr>
                <w:rFonts w:ascii="Arial" w:hAnsi="Arial"/>
                <w:color w:val="2B313A"/>
                <w:sz w:val="17"/>
              </w:rPr>
              <w:t>Средний/высокий</w:t>
            </w:r>
          </w:p>
        </w:tc>
        <w:tc>
          <w:tcPr>
            <w:tcW w:type="dxa" w:w="4032"/>
            <w:vAlign w:val="top"/>
            <w:tcMar>
              <w:top w:w="100" w:type="dxa"/>
              <w:start w:w="120" w:type="dxa"/>
              <w:bottom w:w="100" w:type="dxa"/>
              <w:end w:w="120" w:type="dxa"/>
            </w:tcMar>
          </w:tcPr>
          <w:p>
            <w:pPr>
              <w:spacing w:after="0"/>
            </w:pPr>
            <w:r>
              <w:rPr>
                <w:rFonts w:ascii="Arial" w:hAnsi="Arial"/>
                <w:color w:val="2B313A"/>
                <w:sz w:val="17"/>
              </w:rPr>
              <w:t>Письменная проверка условий и документов</w:t>
            </w:r>
          </w:p>
        </w:tc>
      </w:tr>
      <w:tr>
        <w:tc>
          <w:tcPr>
            <w:tcW w:type="dxa" w:w="3456"/>
            <w:vAlign w:val="top"/>
            <w:tcMar>
              <w:top w:w="100" w:type="dxa"/>
              <w:start w:w="120" w:type="dxa"/>
              <w:bottom w:w="100" w:type="dxa"/>
              <w:end w:w="120" w:type="dxa"/>
            </w:tcMar>
            <w:shd w:fill="FBF9F5"/>
          </w:tcPr>
          <w:p>
            <w:pPr>
              <w:spacing w:after="0"/>
            </w:pPr>
            <w:r>
              <w:rPr>
                <w:rFonts w:ascii="Arial" w:hAnsi="Arial"/>
                <w:color w:val="2B313A"/>
                <w:sz w:val="17"/>
              </w:rPr>
              <w:t>Купили лишнее оборудование</w:t>
            </w:r>
          </w:p>
        </w:tc>
        <w:tc>
          <w:tcPr>
            <w:tcW w:type="dxa" w:w="1728"/>
            <w:vAlign w:val="top"/>
            <w:tcMar>
              <w:top w:w="100" w:type="dxa"/>
              <w:start w:w="120" w:type="dxa"/>
              <w:bottom w:w="100" w:type="dxa"/>
              <w:end w:w="120" w:type="dxa"/>
            </w:tcMar>
            <w:shd w:fill="FBF9F5"/>
          </w:tcPr>
          <w:p>
            <w:pPr>
              <w:spacing w:after="0"/>
            </w:pPr>
            <w:r>
              <w:rPr>
                <w:rFonts w:ascii="Arial" w:hAnsi="Arial"/>
                <w:color w:val="2B313A"/>
                <w:sz w:val="17"/>
              </w:rPr>
              <w:t>Средний</w:t>
            </w:r>
          </w:p>
        </w:tc>
        <w:tc>
          <w:tcPr>
            <w:tcW w:type="dxa" w:w="4032"/>
            <w:vAlign w:val="top"/>
            <w:tcMar>
              <w:top w:w="100" w:type="dxa"/>
              <w:start w:w="120" w:type="dxa"/>
              <w:bottom w:w="100" w:type="dxa"/>
              <w:end w:w="120" w:type="dxa"/>
            </w:tcMar>
            <w:shd w:fill="FBF9F5"/>
          </w:tcPr>
          <w:p>
            <w:pPr>
              <w:spacing w:after="0"/>
            </w:pPr>
            <w:r>
              <w:rPr>
                <w:rFonts w:ascii="Arial" w:hAnsi="Arial"/>
                <w:color w:val="2B313A"/>
                <w:sz w:val="17"/>
              </w:rPr>
              <w:t>Сначала технический ответ банка, потом закупка</w:t>
            </w:r>
          </w:p>
        </w:tc>
      </w:tr>
      <w:tr>
        <w:tc>
          <w:tcPr>
            <w:tcW w:type="dxa" w:w="3456"/>
            <w:vAlign w:val="top"/>
            <w:tcMar>
              <w:top w:w="100" w:type="dxa"/>
              <w:start w:w="120" w:type="dxa"/>
              <w:bottom w:w="100" w:type="dxa"/>
              <w:end w:w="120" w:type="dxa"/>
            </w:tcMar>
          </w:tcPr>
          <w:p>
            <w:pPr>
              <w:spacing w:after="0"/>
            </w:pPr>
            <w:r>
              <w:rPr>
                <w:rFonts w:ascii="Arial" w:hAnsi="Arial"/>
                <w:color w:val="2B313A"/>
                <w:sz w:val="17"/>
              </w:rPr>
              <w:t>Платеж списан, заказ не подтвержден</w:t>
            </w:r>
          </w:p>
        </w:tc>
        <w:tc>
          <w:tcPr>
            <w:tcW w:type="dxa" w:w="1728"/>
            <w:vAlign w:val="top"/>
            <w:tcMar>
              <w:top w:w="100" w:type="dxa"/>
              <w:start w:w="120" w:type="dxa"/>
              <w:bottom w:w="100" w:type="dxa"/>
              <w:end w:w="120" w:type="dxa"/>
            </w:tcMar>
          </w:tcPr>
          <w:p>
            <w:pPr>
              <w:spacing w:after="0"/>
            </w:pPr>
            <w:r>
              <w:rPr>
                <w:rFonts w:ascii="Arial" w:hAnsi="Arial"/>
                <w:color w:val="2B313A"/>
                <w:sz w:val="17"/>
              </w:rPr>
              <w:t>Критический</w:t>
            </w:r>
          </w:p>
        </w:tc>
        <w:tc>
          <w:tcPr>
            <w:tcW w:type="dxa" w:w="4032"/>
            <w:vAlign w:val="top"/>
            <w:tcMar>
              <w:top w:w="100" w:type="dxa"/>
              <w:start w:w="120" w:type="dxa"/>
              <w:bottom w:w="100" w:type="dxa"/>
              <w:end w:w="120" w:type="dxa"/>
            </w:tcMar>
          </w:tcPr>
          <w:p>
            <w:pPr>
              <w:spacing w:after="0"/>
            </w:pPr>
            <w:r>
              <w:rPr>
                <w:rFonts w:ascii="Arial" w:hAnsi="Arial"/>
                <w:color w:val="2B313A"/>
                <w:sz w:val="17"/>
              </w:rPr>
              <w:t>End-to-end тест и идемпотентность</w:t>
            </w:r>
          </w:p>
        </w:tc>
      </w:tr>
      <w:tr>
        <w:tc>
          <w:tcPr>
            <w:tcW w:type="dxa" w:w="3456"/>
            <w:vAlign w:val="top"/>
            <w:tcMar>
              <w:top w:w="100" w:type="dxa"/>
              <w:start w:w="120" w:type="dxa"/>
              <w:bottom w:w="100" w:type="dxa"/>
              <w:end w:w="120" w:type="dxa"/>
            </w:tcMar>
            <w:shd w:fill="FBF9F5"/>
          </w:tcPr>
          <w:p>
            <w:pPr>
              <w:spacing w:after="0"/>
            </w:pPr>
            <w:r>
              <w:rPr>
                <w:rFonts w:ascii="Arial" w:hAnsi="Arial"/>
                <w:color w:val="2B313A"/>
                <w:sz w:val="17"/>
              </w:rPr>
              <w:t>Возврат не работает</w:t>
            </w:r>
          </w:p>
        </w:tc>
        <w:tc>
          <w:tcPr>
            <w:tcW w:type="dxa" w:w="1728"/>
            <w:vAlign w:val="top"/>
            <w:tcMar>
              <w:top w:w="100" w:type="dxa"/>
              <w:start w:w="120" w:type="dxa"/>
              <w:bottom w:w="100" w:type="dxa"/>
              <w:end w:w="120" w:type="dxa"/>
            </w:tcMar>
            <w:shd w:fill="FBF9F5"/>
          </w:tcPr>
          <w:p>
            <w:pPr>
              <w:spacing w:after="0"/>
            </w:pPr>
            <w:r>
              <w:rPr>
                <w:rFonts w:ascii="Arial" w:hAnsi="Arial"/>
                <w:color w:val="2B313A"/>
                <w:sz w:val="17"/>
              </w:rPr>
              <w:t>Критический</w:t>
            </w:r>
          </w:p>
        </w:tc>
        <w:tc>
          <w:tcPr>
            <w:tcW w:type="dxa" w:w="4032"/>
            <w:vAlign w:val="top"/>
            <w:tcMar>
              <w:top w:w="100" w:type="dxa"/>
              <w:start w:w="120" w:type="dxa"/>
              <w:bottom w:w="100" w:type="dxa"/>
              <w:end w:w="120" w:type="dxa"/>
            </w:tcMar>
            <w:shd w:fill="FBF9F5"/>
          </w:tcPr>
          <w:p>
            <w:pPr>
              <w:spacing w:after="0"/>
            </w:pPr>
            <w:r>
              <w:rPr>
                <w:rFonts w:ascii="Arial" w:hAnsi="Arial"/>
                <w:color w:val="2B313A"/>
                <w:sz w:val="17"/>
              </w:rPr>
              <w:t>Тест полного/частичного возврата</w:t>
            </w:r>
          </w:p>
        </w:tc>
      </w:tr>
      <w:tr>
        <w:tc>
          <w:tcPr>
            <w:tcW w:type="dxa" w:w="3456"/>
            <w:vAlign w:val="top"/>
            <w:tcMar>
              <w:top w:w="100" w:type="dxa"/>
              <w:start w:w="120" w:type="dxa"/>
              <w:bottom w:w="100" w:type="dxa"/>
              <w:end w:w="120" w:type="dxa"/>
            </w:tcMar>
          </w:tcPr>
          <w:p>
            <w:pPr>
              <w:spacing w:after="0"/>
            </w:pPr>
            <w:r>
              <w:rPr>
                <w:rFonts w:ascii="Arial" w:hAnsi="Arial"/>
                <w:color w:val="2B313A"/>
                <w:sz w:val="17"/>
              </w:rPr>
              <w:t>Сверка с учетом ручная и нестабильная</w:t>
            </w:r>
          </w:p>
        </w:tc>
        <w:tc>
          <w:tcPr>
            <w:tcW w:type="dxa" w:w="1728"/>
            <w:vAlign w:val="top"/>
            <w:tcMar>
              <w:top w:w="100" w:type="dxa"/>
              <w:start w:w="120" w:type="dxa"/>
              <w:bottom w:w="100" w:type="dxa"/>
              <w:end w:w="120" w:type="dxa"/>
            </w:tcMar>
          </w:tcPr>
          <w:p>
            <w:pPr>
              <w:spacing w:after="0"/>
            </w:pPr>
            <w:r>
              <w:rPr>
                <w:rFonts w:ascii="Arial" w:hAnsi="Arial"/>
                <w:color w:val="2B313A"/>
                <w:sz w:val="17"/>
              </w:rPr>
              <w:t>Высокий</w:t>
            </w:r>
          </w:p>
        </w:tc>
        <w:tc>
          <w:tcPr>
            <w:tcW w:type="dxa" w:w="4032"/>
            <w:vAlign w:val="top"/>
            <w:tcMar>
              <w:top w:w="100" w:type="dxa"/>
              <w:start w:w="120" w:type="dxa"/>
              <w:bottom w:w="100" w:type="dxa"/>
              <w:end w:w="120" w:type="dxa"/>
            </w:tcMar>
          </w:tcPr>
          <w:p>
            <w:pPr>
              <w:spacing w:after="0"/>
            </w:pPr>
            <w:r>
              <w:rPr>
                <w:rFonts w:ascii="Arial" w:hAnsi="Arial"/>
                <w:color w:val="2B313A"/>
                <w:sz w:val="17"/>
              </w:rPr>
              <w:t>Регламент реестров/выписок, владелец сверки</w:t>
            </w:r>
          </w:p>
        </w:tc>
      </w:tr>
      <w:tr>
        <w:tc>
          <w:tcPr>
            <w:tcW w:type="dxa" w:w="3456"/>
            <w:vAlign w:val="top"/>
            <w:tcMar>
              <w:top w:w="100" w:type="dxa"/>
              <w:start w:w="120" w:type="dxa"/>
              <w:bottom w:w="100" w:type="dxa"/>
              <w:end w:w="120" w:type="dxa"/>
            </w:tcMar>
            <w:shd w:fill="FBF9F5"/>
          </w:tcPr>
          <w:p>
            <w:pPr>
              <w:spacing w:after="0"/>
            </w:pPr>
            <w:r>
              <w:rPr>
                <w:rFonts w:ascii="Arial" w:hAnsi="Arial"/>
                <w:color w:val="2B313A"/>
                <w:sz w:val="17"/>
              </w:rPr>
              <w:t>Кассир верит экрану клиента</w:t>
            </w:r>
          </w:p>
        </w:tc>
        <w:tc>
          <w:tcPr>
            <w:tcW w:type="dxa" w:w="1728"/>
            <w:vAlign w:val="top"/>
            <w:tcMar>
              <w:top w:w="100" w:type="dxa"/>
              <w:start w:w="120" w:type="dxa"/>
              <w:bottom w:w="100" w:type="dxa"/>
              <w:end w:w="120" w:type="dxa"/>
            </w:tcMar>
            <w:shd w:fill="FBF9F5"/>
          </w:tcPr>
          <w:p>
            <w:pPr>
              <w:spacing w:after="0"/>
            </w:pPr>
            <w:r>
              <w:rPr>
                <w:rFonts w:ascii="Arial" w:hAnsi="Arial"/>
                <w:color w:val="2B313A"/>
                <w:sz w:val="17"/>
              </w:rPr>
              <w:t>Высокий</w:t>
            </w:r>
          </w:p>
        </w:tc>
        <w:tc>
          <w:tcPr>
            <w:tcW w:type="dxa" w:w="4032"/>
            <w:vAlign w:val="top"/>
            <w:tcMar>
              <w:top w:w="100" w:type="dxa"/>
              <w:start w:w="120" w:type="dxa"/>
              <w:bottom w:w="100" w:type="dxa"/>
              <w:end w:w="120" w:type="dxa"/>
            </w:tcMar>
            <w:shd w:fill="FBF9F5"/>
          </w:tcPr>
          <w:p>
            <w:pPr>
              <w:spacing w:after="0"/>
            </w:pPr>
            <w:r>
              <w:rPr>
                <w:rFonts w:ascii="Arial" w:hAnsi="Arial"/>
                <w:color w:val="2B313A"/>
                <w:sz w:val="17"/>
              </w:rPr>
              <w:t>Ориентироваться только на финальный статус системы</w:t>
            </w:r>
          </w:p>
        </w:tc>
      </w:tr>
    </w:tbl>
    <w:p>
      <w:pPr>
        <w:pStyle w:val="Heading1"/>
      </w:pPr>
      <w:r>
        <w:t>14. Что делать сейчас, если 1 сентября уже прошло</w:t>
      </w:r>
    </w:p>
    <w:p>
      <w:pPr>
        <w:ind w:left="259" w:hanging="259"/>
      </w:pPr>
      <w:r>
        <w:t>1. Сразу подтвердить B2C-продажи, выручку за 2025 год и форму бизнеса.</w:t>
      </w:r>
    </w:p>
    <w:p>
      <w:pPr>
        <w:ind w:left="259" w:hanging="259"/>
      </w:pPr>
      <w:r>
        <w:rPr>
          <w:b/>
          <w:color w:val="C99A42"/>
        </w:rPr>
        <w:t xml:space="preserve">2. </w:t>
      </w:r>
      <w:r>
        <w:t>Найти договор приема электронных средств платежа на 01.01.2026.</w:t>
      </w:r>
    </w:p>
    <w:p>
      <w:pPr>
        <w:ind w:left="259" w:hanging="259"/>
      </w:pPr>
      <w:r>
        <w:rPr>
          <w:b/>
          <w:color w:val="C99A42"/>
        </w:rPr>
        <w:t xml:space="preserve">3. </w:t>
      </w:r>
      <w:r>
        <w:t>Проверить статус банка на контрольную дату.</w:t>
      </w:r>
    </w:p>
    <w:p>
      <w:pPr>
        <w:ind w:left="259" w:hanging="259"/>
      </w:pPr>
      <w:r>
        <w:rPr>
          <w:b/>
          <w:color w:val="C99A42"/>
        </w:rPr>
        <w:t xml:space="preserve">4. </w:t>
      </w:r>
      <w:r>
        <w:t>Разбить компанию на точки/каналы и применить исключения.</w:t>
      </w:r>
    </w:p>
    <w:p>
      <w:pPr>
        <w:ind w:left="259" w:hanging="259"/>
      </w:pPr>
      <w:r>
        <w:rPr>
          <w:b/>
          <w:color w:val="C99A42"/>
        </w:rPr>
        <w:t xml:space="preserve">5. </w:t>
      </w:r>
      <w:r>
        <w:t>Определить рабочий срок в Excel-модели.</w:t>
      </w:r>
    </w:p>
    <w:p>
      <w:pPr>
        <w:ind w:left="259" w:hanging="259"/>
      </w:pPr>
      <w:r>
        <w:t>6. Если этап 2026 подтвержден и прием еще не работает — письменно зафиксировать статус у банка и запустить подключение без ожидания следующего отчетного периода.</w:t>
      </w:r>
    </w:p>
    <w:p>
      <w:pPr>
        <w:ind w:left="259" w:hanging="259"/>
      </w:pPr>
      <w:r>
        <w:rPr>
          <w:b/>
          <w:color w:val="C99A42"/>
        </w:rPr>
        <w:t xml:space="preserve">7. </w:t>
      </w:r>
      <w:r>
        <w:t>Не покупать терминалы до технической спецификации.</w:t>
      </w:r>
    </w:p>
    <w:p>
      <w:pPr>
        <w:ind w:left="259" w:hanging="259"/>
      </w:pPr>
      <w:r>
        <w:rPr>
          <w:b/>
          <w:color w:val="C99A42"/>
        </w:rPr>
        <w:t xml:space="preserve">8. </w:t>
      </w:r>
      <w:r>
        <w:t>Провести оплату, возврат и сверку.</w:t>
      </w:r>
    </w:p>
    <w:p>
      <w:pPr>
        <w:ind w:left="259" w:hanging="259"/>
      </w:pPr>
      <w:r>
        <w:rPr>
          <w:b/>
          <w:color w:val="C99A42"/>
        </w:rPr>
        <w:t xml:space="preserve">9. </w:t>
      </w:r>
      <w:r>
        <w:t>Обучить кассира, поддержку, бухгалтерию.</w:t>
      </w:r>
    </w:p>
    <w:p>
      <w:pPr>
        <w:ind w:left="259" w:hanging="259"/>
      </w:pPr>
      <w:r>
        <w:t>10. После запуска минимум семь дней вести журнал ошибок, возвратов, таймаутов и расхождений сверки.</w:t>
      </w:r>
    </w:p>
    <w:p>
      <w:pPr>
        <w:pStyle w:val="Heading1"/>
      </w:pPr>
      <w:r>
        <w:t>15. Ответственность: что можно сказать без выдуманных штрафов</w:t>
      </w:r>
    </w:p>
    <w:p>
      <w:pPr/>
      <w:r>
        <w:t>В проверенных официальных источниках на 6 сентября 2026 года не найден отдельный универсальный специальный штраф, установленный именно одной нормой «за неприем цифрового рубля». Поэтому указывать произвольную сумму штрафа нельзя. Это не отменяет саму обязанность для продавца, который подпадает под условия закона, и не означает отсутствия иных последствий в конкретной ситуации. При споре оцениваются фактическое нарушение, статус продавца и применимые нормы.</w:t>
      </w:r>
    </w:p>
    <w:p>
      <w:pPr>
        <w:pStyle w:val="Heading1"/>
      </w:pPr>
      <w:r>
        <w:t>16. Практический вердикт</w:t>
      </w:r>
    </w:p>
    <w:p>
      <w:r>
        <w:t>На 6 сентября 2026 года первый обязательный этап уже действует. Если условия этапа 2026 подтверждены, а прием еще не обеспечен, правильный режим — «устранить разрыв сейчас»: документировать применимость, получить технический план банка, включить обязательные каналы, проверить оплату/возврат/сверку и стабилизировать процесс. Если первый этап не ваш — зафиксируйте следующий срок и не покупайте инфраструктуру заранее.</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2160"/>
            <w:shd w:fill="102238"/>
            <w:vAlign w:val="center"/>
            <w:tcMar>
              <w:top w:w="100" w:type="dxa"/>
              <w:start w:w="120" w:type="dxa"/>
              <w:bottom w:w="100" w:type="dxa"/>
              <w:end w:w="120" w:type="dxa"/>
            </w:tcMar>
          </w:tcPr>
          <w:p>
            <w:pPr>
              <w:jc w:val="left"/>
            </w:pPr>
            <w:r>
              <w:rPr>
                <w:rFonts w:ascii="Arial" w:hAnsi="Arial"/>
                <w:b/>
                <w:color w:val="FFFFFF"/>
                <w:sz w:val="17"/>
              </w:rPr>
              <w:t>Статус</w:t>
            </w:r>
          </w:p>
        </w:tc>
        <w:tc>
          <w:tcPr>
            <w:tcW w:type="dxa" w:w="2304"/>
            <w:shd w:fill="102238"/>
            <w:vAlign w:val="center"/>
            <w:tcMar>
              <w:top w:w="100" w:type="dxa"/>
              <w:start w:w="120" w:type="dxa"/>
              <w:bottom w:w="100" w:type="dxa"/>
              <w:end w:w="120" w:type="dxa"/>
            </w:tcMar>
          </w:tcPr>
          <w:p>
            <w:pPr>
              <w:jc w:val="left"/>
            </w:pPr>
            <w:r>
              <w:rPr>
                <w:rFonts w:ascii="Arial" w:hAnsi="Arial"/>
                <w:b/>
                <w:color w:val="FFFFFF"/>
                <w:sz w:val="17"/>
              </w:rPr>
              <w:t>Когда</w:t>
            </w:r>
          </w:p>
        </w:tc>
        <w:tc>
          <w:tcPr>
            <w:tcW w:type="dxa" w:w="4752"/>
            <w:shd w:fill="102238"/>
            <w:vAlign w:val="center"/>
            <w:tcMar>
              <w:top w:w="100" w:type="dxa"/>
              <w:start w:w="120" w:type="dxa"/>
              <w:bottom w:w="100" w:type="dxa"/>
              <w:end w:w="120" w:type="dxa"/>
            </w:tcMar>
          </w:tcPr>
          <w:p>
            <w:pPr>
              <w:jc w:val="left"/>
            </w:pPr>
            <w:r>
              <w:rPr>
                <w:rFonts w:ascii="Arial" w:hAnsi="Arial"/>
                <w:b/>
                <w:color w:val="FFFFFF"/>
                <w:sz w:val="17"/>
              </w:rPr>
              <w:t>Действие</w:t>
            </w:r>
          </w:p>
        </w:tc>
      </w:tr>
      <w:tr>
        <w:tc>
          <w:tcPr>
            <w:tcW w:type="dxa" w:w="2160"/>
            <w:vAlign w:val="top"/>
            <w:tcMar>
              <w:top w:w="100" w:type="dxa"/>
              <w:start w:w="120" w:type="dxa"/>
              <w:bottom w:w="100" w:type="dxa"/>
              <w:end w:w="120" w:type="dxa"/>
            </w:tcMar>
          </w:tcPr>
          <w:p>
            <w:r>
              <w:t>ОБЯЗАННОСТЬ ДЕЙСТВУЕТ</w:t>
            </w:r>
          </w:p>
        </w:tc>
        <w:tc>
          <w:tcPr>
            <w:tcW w:type="dxa" w:w="2304"/>
            <w:vAlign w:val="top"/>
            <w:tcMar>
              <w:top w:w="100" w:type="dxa"/>
              <w:start w:w="120" w:type="dxa"/>
              <w:bottom w:w="100" w:type="dxa"/>
              <w:end w:w="120" w:type="dxa"/>
            </w:tcMar>
          </w:tcPr>
          <w:p>
            <w:pPr>
              <w:spacing w:after="0"/>
            </w:pPr>
            <w:r>
              <w:rPr>
                <w:rFonts w:ascii="Arial" w:hAnsi="Arial"/>
                <w:color w:val="2B313A"/>
                <w:sz w:val="17"/>
              </w:rPr>
              <w:t>2026 подтвержден</w:t>
            </w:r>
          </w:p>
        </w:tc>
        <w:tc>
          <w:tcPr>
            <w:tcW w:type="dxa" w:w="4752"/>
            <w:vAlign w:val="top"/>
            <w:tcMar>
              <w:top w:w="100" w:type="dxa"/>
              <w:start w:w="120" w:type="dxa"/>
              <w:bottom w:w="100" w:type="dxa"/>
              <w:end w:w="120" w:type="dxa"/>
            </w:tcMar>
          </w:tcPr>
          <w:p>
            <w:r>
              <w:t>если прием не работает: банк → счет → обязательные каналы → оплата/возврат → сверка → обучение → журнал стабилизации</w:t>
            </w:r>
          </w:p>
        </w:tc>
      </w:tr>
      <w:tr>
        <w:tc>
          <w:tcPr>
            <w:tcW w:type="dxa" w:w="2160"/>
            <w:vAlign w:val="top"/>
            <w:tcMar>
              <w:top w:w="100" w:type="dxa"/>
              <w:start w:w="120" w:type="dxa"/>
              <w:bottom w:w="100" w:type="dxa"/>
              <w:end w:w="120" w:type="dxa"/>
            </w:tcMar>
            <w:shd w:fill="FBF9F5"/>
          </w:tcPr>
          <w:p>
            <w:pPr>
              <w:spacing w:after="0"/>
            </w:pPr>
            <w:r>
              <w:rPr>
                <w:rFonts w:ascii="Arial" w:hAnsi="Arial"/>
                <w:color w:val="2B313A"/>
                <w:sz w:val="17"/>
              </w:rPr>
              <w:t>ГОТОВИТЬСЯ</w:t>
            </w:r>
          </w:p>
        </w:tc>
        <w:tc>
          <w:tcPr>
            <w:tcW w:type="dxa" w:w="2304"/>
            <w:vAlign w:val="top"/>
            <w:tcMar>
              <w:top w:w="100" w:type="dxa"/>
              <w:start w:w="120" w:type="dxa"/>
              <w:bottom w:w="100" w:type="dxa"/>
              <w:end w:w="120" w:type="dxa"/>
            </w:tcMar>
            <w:shd w:fill="FBF9F5"/>
          </w:tcPr>
          <w:p>
            <w:pPr>
              <w:spacing w:after="0"/>
            </w:pPr>
            <w:r>
              <w:rPr>
                <w:rFonts w:ascii="Arial" w:hAnsi="Arial"/>
                <w:color w:val="2B313A"/>
                <w:sz w:val="17"/>
              </w:rPr>
              <w:t>срок 2027/2028</w:t>
            </w:r>
          </w:p>
        </w:tc>
        <w:tc>
          <w:tcPr>
            <w:tcW w:type="dxa" w:w="4752"/>
            <w:vAlign w:val="top"/>
            <w:tcMar>
              <w:top w:w="100" w:type="dxa"/>
              <w:start w:w="120" w:type="dxa"/>
              <w:bottom w:w="100" w:type="dxa"/>
              <w:end w:w="120" w:type="dxa"/>
            </w:tcMar>
            <w:shd w:fill="FBF9F5"/>
          </w:tcPr>
          <w:p>
            <w:pPr>
              <w:spacing w:after="0"/>
            </w:pPr>
            <w:r>
              <w:rPr>
                <w:rFonts w:ascii="Arial" w:hAnsi="Arial"/>
                <w:color w:val="2B313A"/>
                <w:sz w:val="17"/>
              </w:rPr>
              <w:t>совместимость инфраструктуры + бюджет + план</w:t>
            </w:r>
          </w:p>
        </w:tc>
      </w:tr>
      <w:tr>
        <w:tc>
          <w:tcPr>
            <w:tcW w:type="dxa" w:w="2160"/>
            <w:vAlign w:val="top"/>
            <w:tcMar>
              <w:top w:w="100" w:type="dxa"/>
              <w:start w:w="120" w:type="dxa"/>
              <w:bottom w:w="100" w:type="dxa"/>
              <w:end w:w="120" w:type="dxa"/>
            </w:tcMar>
          </w:tcPr>
          <w:p>
            <w:pPr>
              <w:spacing w:after="0"/>
            </w:pPr>
            <w:r>
              <w:rPr>
                <w:rFonts w:ascii="Arial" w:hAnsi="Arial"/>
                <w:color w:val="2B313A"/>
                <w:sz w:val="17"/>
              </w:rPr>
              <w:t>УТОЧНИТЬ</w:t>
            </w:r>
          </w:p>
        </w:tc>
        <w:tc>
          <w:tcPr>
            <w:tcW w:type="dxa" w:w="2304"/>
            <w:vAlign w:val="top"/>
            <w:tcMar>
              <w:top w:w="100" w:type="dxa"/>
              <w:start w:w="120" w:type="dxa"/>
              <w:bottom w:w="100" w:type="dxa"/>
              <w:end w:w="120" w:type="dxa"/>
            </w:tcMar>
          </w:tcPr>
          <w:p>
            <w:pPr>
              <w:spacing w:after="0"/>
            </w:pPr>
            <w:r>
              <w:rPr>
                <w:rFonts w:ascii="Arial" w:hAnsi="Arial"/>
                <w:color w:val="2B313A"/>
                <w:sz w:val="17"/>
              </w:rPr>
              <w:t>ИП / подписка / спорный договор / нет данных</w:t>
            </w:r>
          </w:p>
        </w:tc>
        <w:tc>
          <w:tcPr>
            <w:tcW w:type="dxa" w:w="4752"/>
            <w:vAlign w:val="top"/>
            <w:tcMar>
              <w:top w:w="100" w:type="dxa"/>
              <w:start w:w="120" w:type="dxa"/>
              <w:bottom w:w="100" w:type="dxa"/>
              <w:end w:w="120" w:type="dxa"/>
            </w:tcMar>
          </w:tcPr>
          <w:p>
            <w:pPr>
              <w:spacing w:after="0"/>
            </w:pPr>
            <w:r>
              <w:rPr>
                <w:rFonts w:ascii="Arial" w:hAnsi="Arial"/>
                <w:color w:val="2B313A"/>
                <w:sz w:val="17"/>
              </w:rPr>
              <w:t>письменный ответ банка/юриста</w:t>
            </w:r>
          </w:p>
        </w:tc>
      </w:tr>
    </w:tbl>
    <w:p>
      <w:pPr>
        <w:pStyle w:val="Heading1"/>
      </w:pPr>
      <w:r>
        <w:t>Источники</w:t>
      </w:r>
    </w:p>
    <w:p>
      <w:pPr>
        <w:pStyle w:val="Smallnote"/>
      </w:pPr>
      <w:r>
        <w:rPr>
          <w:b/>
        </w:rPr>
        <w:t xml:space="preserve">Банк России — «Прием оплаты в цифровых рублях»: </w:t>
      </w:r>
      <w:r>
        <w:t>https://www.cbr.ru/PSystem/dr/accepting_payments_dr/</w:t>
      </w:r>
    </w:p>
    <w:p>
      <w:pPr>
        <w:pStyle w:val="Smallnote"/>
      </w:pPr>
      <w:r>
        <w:rPr>
          <w:b/>
        </w:rPr>
        <w:t xml:space="preserve">Банк России — «Цифровой рубль: вопросы и ответы»: </w:t>
      </w:r>
      <w:r>
        <w:t>https://www.cbr.ru/faq/dr/</w:t>
      </w:r>
    </w:p>
    <w:p>
      <w:pPr>
        <w:pStyle w:val="Smallnote"/>
      </w:pPr>
      <w:r>
        <w:rPr>
          <w:b/>
        </w:rPr>
        <w:t xml:space="preserve">Банк России — тарифы платформы цифрового рубля: </w:t>
      </w:r>
      <w:r>
        <w:t>https://www.cbr.ru/PSystem/dr/doc_dr/tarif/dr_t-1/</w:t>
      </w:r>
    </w:p>
    <w:p>
      <w:pPr>
        <w:pStyle w:val="Smallnote"/>
      </w:pPr>
      <w:r>
        <w:t>Банк России — тарифы платформы цифрового рубля: https://www.cbr.ru/PSystem/dr/doc_dr/tarif/dr_t-1/</w:t>
      </w:r>
    </w:p>
    <w:p>
      <w:pPr>
        <w:pStyle w:val="Smallnote"/>
      </w:pPr>
      <w:r>
        <w:rPr>
          <w:b/>
        </w:rPr>
        <w:t xml:space="preserve">Банк России — стандарты платформы цифрового рубля: </w:t>
      </w:r>
      <w:r>
        <w:t>https://www.cbr.ru/PSystem/dr/doc_dr/standarts/</w:t>
      </w:r>
    </w:p>
    <w:p>
      <w:pPr>
        <w:pStyle w:val="Smallnote"/>
      </w:pPr>
      <w:r>
        <w:rPr>
          <w:b/>
        </w:rPr>
        <w:t xml:space="preserve">Федеральный закон от 23.07.2025 № 248-ФЗ: </w:t>
      </w:r>
      <w:r>
        <w:t>https://publication.pravo.gov.ru/document/0001202507230045</w:t>
      </w:r>
    </w:p>
    <w:p>
      <w:pPr>
        <w:pStyle w:val="Smallnote"/>
      </w:pPr>
      <w:r>
        <w:t>Банк России — «Цифровой рубль: старт использования», 31.08.2026: https://www.cbr.ru/press/event/?id=32802</w:t>
      </w:r>
    </w:p>
    <w:p>
      <w:pPr>
        <w:pStyle w:val="Smallnote"/>
      </w:pPr>
      <w:r>
        <w:t>Дисклеймер: материал носит информационно-аналитический характер. Перед запуском проверьте актуальные требования Банка России и технические условия конкретного банка. Спорные случаи требуют индивидуальной правовой проверки.</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Цифровой рубль для бизнеса — 2026  •  актуально на 06.09.2026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C99A42"/>
        <w:sz w:val="15"/>
      </w:rPr>
      <w:t>БИЗНЕС ПОД МИКРОСКОПОМ  •  БИЗНЕС-СРЕДА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2B31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Georgia" w:hAnsi="Georgia"/>
      <w:b/>
      <w:bCs/>
      <w:color w:val="102238"/>
      <w:sz w:val="3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Georgia" w:hAnsi="Georgia"/>
      <w:b/>
      <w:bCs/>
      <w:color w:val="10223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0223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0223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rial" w:hAnsi="Arial"/>
      <w:color w:val="5F6670"/>
      <w:sz w:val="17"/>
    </w:rPr>
  </w:style>
  <w:style w:type="paragraph" w:customStyle="1" w:styleId="Callout">
    <w:name w:val="Callout"/>
    <w:pPr>
      <w:spacing w:after="60"/>
    </w:pPr>
    <w:rPr>
      <w:rFonts w:ascii="Arial" w:hAnsi="Arial"/>
      <w:b/>
      <w:color w:val="102238"/>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Цифровой рубль для бизнеса — 2026</dc:title>
  <dc:subject>Бизнес под микроскопом · Бизнес-среда · цифровой рубль</dc:subject>
  <dc:creator>python-docx</dc:creator>
  <cp:keywords/>
  <dc:description>Актуализировано 06.09.2026 после вступления первого обязательного этапа.</dc:description>
  <cp:lastModifiedBy/>
  <cp:revision>1</cp:revision>
  <dcterms:created xsi:type="dcterms:W3CDTF">2013-12-23T23:15:00Z</dcterms:created>
  <dcterms:modified xsi:type="dcterms:W3CDTF">2013-12-23T23:15:00Z</dcterms:modified>
  <cp:category/>
</cp:coreProperties>
</file>