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Arial" w:hAnsi="Arial"/>
          <w:b/>
          <w:color w:val="C99A42"/>
          <w:sz w:val="18"/>
        </w:rPr>
        <w:t>РАБОЧИЙ РЕГЛАМЕНТ</w:t>
      </w:r>
    </w:p>
    <w:p>
      <w:pPr>
        <w:pStyle w:val="Title"/>
      </w:pPr>
      <w:r>
        <w:t>Вопросы банку и технический чек-лист</w:t>
      </w:r>
    </w:p>
    <w:p>
      <w:r>
        <w:t>Что запросить у банка и что проверить в кассовом, онлайн- и учетном контуре при подключении или стабилизации после 1 сентября 2026 года.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FEAE0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pStyle w:val="Callout"/>
            </w:pPr>
            <w:r>
              <w:t>Цель — получить не общую консультацию, а подтвержденный план с ответственными, сроками и тестом возврата.</w:t>
            </w:r>
          </w:p>
        </w:tc>
      </w:tr>
    </w:tbl>
    <w:p>
      <w:r/>
    </w:p>
    <w:p>
      <w:pPr>
        <w:pStyle w:val="Heading1"/>
      </w:pPr>
      <w:r>
        <w:t>1. Вопросы банку</w:t>
      </w:r>
    </w:p>
    <w:p>
      <w:pPr>
        <w:ind w:left="259" w:hanging="259"/>
      </w:pPr>
      <w:r>
        <w:t>1. Подтвердите, что банк предоставляет нашей компании доступ к платформе цифрового рубля сейчас и укажите фактический статус подключения по каждому обязательному каналу.</w:t>
      </w:r>
    </w:p>
    <w:p>
      <w:pPr>
        <w:ind w:left="259" w:hanging="259"/>
      </w:pPr>
      <w:r>
        <w:rPr>
          <w:b/>
          <w:color w:val="C99A42"/>
        </w:rPr>
        <w:t xml:space="preserve">2. </w:t>
      </w:r>
      <w:r>
        <w:t>Какой договор/оферту мы должны подписать и через какое ДБО открывается счет цифрового рубля?</w:t>
      </w:r>
    </w:p>
    <w:p>
      <w:pPr>
        <w:ind w:left="259" w:hanging="259"/>
      </w:pPr>
      <w:r>
        <w:rPr>
          <w:b/>
          <w:color w:val="C99A42"/>
        </w:rPr>
        <w:t xml:space="preserve">3. </w:t>
      </w:r>
      <w:r>
        <w:t>Какой технический сценарий предлагается для офлайн-касс, POS, QR, сайта и мобильного приложения?</w:t>
      </w:r>
    </w:p>
    <w:p>
      <w:pPr>
        <w:ind w:left="259" w:hanging="259"/>
      </w:pPr>
      <w:r>
        <w:rPr>
          <w:b/>
          <w:color w:val="C99A42"/>
        </w:rPr>
        <w:t xml:space="preserve">4. </w:t>
      </w:r>
      <w:r>
        <w:t>Можно ли использовать существующие терминалы и онлайн-каналы СБП без покупки нового оборудования?</w:t>
      </w:r>
    </w:p>
    <w:p>
      <w:pPr>
        <w:ind w:left="259" w:hanging="259"/>
      </w:pPr>
      <w:r>
        <w:rPr>
          <w:b/>
          <w:color w:val="C99A42"/>
        </w:rPr>
        <w:t xml:space="preserve">5. </w:t>
      </w:r>
      <w:r>
        <w:t>Какие версии ПО/прошивки/кассовых модулей обязательны?</w:t>
      </w:r>
    </w:p>
    <w:p>
      <w:pPr>
        <w:ind w:left="259" w:hanging="259"/>
      </w:pPr>
      <w:r>
        <w:rPr>
          <w:b/>
          <w:color w:val="C99A42"/>
        </w:rPr>
        <w:t xml:space="preserve">6. </w:t>
      </w:r>
      <w:r>
        <w:t>Как кассир видит успешный платеж и как исключить выдачу товара при незавершенной операции?</w:t>
      </w:r>
    </w:p>
    <w:p>
      <w:pPr>
        <w:ind w:left="259" w:hanging="259"/>
      </w:pPr>
      <w:r>
        <w:rPr>
          <w:b/>
          <w:color w:val="C99A42"/>
        </w:rPr>
        <w:t xml:space="preserve">7. </w:t>
      </w:r>
      <w:r>
        <w:t>Как выполняется полный и частичный возврат?</w:t>
      </w:r>
    </w:p>
    <w:p>
      <w:pPr>
        <w:ind w:left="259" w:hanging="259"/>
      </w:pPr>
      <w:r>
        <w:rPr>
          <w:b/>
          <w:color w:val="C99A42"/>
        </w:rPr>
        <w:t xml:space="preserve">8. </w:t>
      </w:r>
      <w:r>
        <w:t>Как формируется реестр/выписка для сверки и бухгалтерии?</w:t>
      </w:r>
    </w:p>
    <w:p>
      <w:pPr>
        <w:ind w:left="259" w:hanging="259"/>
      </w:pPr>
      <w:r>
        <w:rPr>
          <w:b/>
          <w:color w:val="C99A42"/>
        </w:rPr>
        <w:t xml:space="preserve">9. </w:t>
      </w:r>
      <w:r>
        <w:t>Какие API/выгрузки доступны для 1С/ERP/кассового ПО через банк или интегратора?</w:t>
      </w:r>
    </w:p>
    <w:p>
      <w:pPr>
        <w:ind w:left="259" w:hanging="259"/>
      </w:pPr>
      <w:r>
        <w:rPr>
          <w:b/>
          <w:color w:val="C99A42"/>
        </w:rPr>
        <w:t xml:space="preserve">10. </w:t>
      </w:r>
      <w:r>
        <w:t>Как обрабатываются недоступность платформы, таймаут, дублирование и спорный статус платежа?</w:t>
      </w:r>
    </w:p>
    <w:p>
      <w:pPr>
        <w:ind w:left="259" w:hanging="259"/>
      </w:pPr>
      <w:r>
        <w:rPr>
          <w:b/>
          <w:color w:val="C99A42"/>
        </w:rPr>
        <w:t xml:space="preserve">11. </w:t>
      </w:r>
      <w:r>
        <w:t>Кто персональный технический ответственный со стороны банка на тест и первые дни запуска?</w:t>
      </w:r>
    </w:p>
    <w:p>
      <w:pPr>
        <w:ind w:left="259" w:hanging="259"/>
      </w:pPr>
      <w:r>
        <w:rPr>
          <w:b/>
          <w:color w:val="C99A42"/>
        </w:rPr>
        <w:t xml:space="preserve">12. </w:t>
      </w:r>
      <w:r>
        <w:t>Какие тарифы банка/интегратора действуют помимо тарифа оператора платформы?</w:t>
      </w:r>
    </w:p>
    <w:p>
      <w:pPr>
        <w:pStyle w:val="Heading1"/>
      </w:pPr>
      <w:r>
        <w:t>2. Офлайн-касса/POS</w:t>
      </w:r>
    </w:p>
    <w:p>
      <w:pPr>
        <w:ind w:left="230" w:hanging="144"/>
      </w:pPr>
      <w:r>
        <w:rPr>
          <w:b/>
        </w:rPr>
        <w:t xml:space="preserve">• </w:t>
      </w:r>
      <w:r>
        <w:t>□ Есть отдельный способ оплаты «цифровой рубль» или корректное отображение через универсальный QR/платежный интерфейс.</w:t>
      </w:r>
    </w:p>
    <w:p>
      <w:pPr>
        <w:ind w:left="230" w:hanging="144"/>
      </w:pPr>
      <w:r>
        <w:rPr>
          <w:b/>
        </w:rPr>
        <w:t xml:space="preserve">• </w:t>
      </w:r>
      <w:r>
        <w:t>□ Сумма передается без ручного повторного ввода.</w:t>
      </w:r>
    </w:p>
    <w:p>
      <w:pPr>
        <w:ind w:left="230" w:hanging="144"/>
      </w:pPr>
      <w:r>
        <w:rPr>
          <w:b/>
        </w:rPr>
        <w:t xml:space="preserve">• </w:t>
      </w:r>
      <w:r>
        <w:t>□ Кассир видит финальный статус оплаты.</w:t>
      </w:r>
    </w:p>
    <w:p>
      <w:pPr>
        <w:ind w:left="230" w:hanging="144"/>
      </w:pPr>
      <w:r>
        <w:rPr>
          <w:b/>
        </w:rPr>
        <w:t xml:space="preserve">• </w:t>
      </w:r>
      <w:r>
        <w:t>□ Нельзя закрыть продажу до подтверждения платежа.</w:t>
      </w:r>
    </w:p>
    <w:p>
      <w:pPr>
        <w:ind w:left="230" w:hanging="144"/>
      </w:pPr>
      <w:r>
        <w:rPr>
          <w:b/>
        </w:rPr>
        <w:t xml:space="preserve">• </w:t>
      </w:r>
      <w:r>
        <w:t>□ Работает отмена до завершения и возврат после завершения.</w:t>
      </w:r>
    </w:p>
    <w:p>
      <w:pPr>
        <w:ind w:left="230" w:hanging="144"/>
      </w:pPr>
      <w:r>
        <w:rPr>
          <w:b/>
        </w:rPr>
        <w:t xml:space="preserve">• </w:t>
      </w:r>
      <w:r>
        <w:t>□ Чек и учет отражают операцию корректно.</w:t>
      </w:r>
    </w:p>
    <w:p>
      <w:pPr>
        <w:ind w:left="230" w:hanging="144"/>
      </w:pPr>
      <w:r>
        <w:rPr>
          <w:b/>
        </w:rPr>
        <w:t xml:space="preserve">• </w:t>
      </w:r>
      <w:r>
        <w:t>□ Проведен тест при медленном соединении/таймауте.</w:t>
      </w:r>
    </w:p>
    <w:p>
      <w:pPr>
        <w:pStyle w:val="Heading1"/>
      </w:pPr>
      <w:r>
        <w:t>3. Сайт и приложение</w:t>
      </w:r>
    </w:p>
    <w:p>
      <w:pPr>
        <w:ind w:left="230" w:hanging="144"/>
      </w:pPr>
      <w:r>
        <w:rPr>
          <w:b/>
        </w:rPr>
        <w:t xml:space="preserve">• </w:t>
      </w:r>
      <w:r>
        <w:t>□ Способ оплаты доступен на checkout там, где возникает обязанность.</w:t>
      </w:r>
    </w:p>
    <w:p>
      <w:pPr>
        <w:ind w:left="230" w:hanging="144"/>
      </w:pPr>
      <w:r>
        <w:rPr>
          <w:b/>
        </w:rPr>
        <w:t xml:space="preserve">• </w:t>
      </w:r>
      <w:r>
        <w:t>□ После оплаты пользователь возвращается на понятный экран результата.</w:t>
      </w:r>
    </w:p>
    <w:p>
      <w:pPr>
        <w:ind w:left="230" w:hanging="144"/>
      </w:pPr>
      <w:r>
        <w:rPr>
          <w:b/>
        </w:rPr>
        <w:t xml:space="preserve">• </w:t>
      </w:r>
      <w:r>
        <w:t>□ Заказ не меняет статус на «оплачен» до финального подтверждения.</w:t>
      </w:r>
    </w:p>
    <w:p>
      <w:pPr>
        <w:ind w:left="230" w:hanging="144"/>
      </w:pPr>
      <w:r>
        <w:rPr>
          <w:b/>
        </w:rPr>
        <w:t xml:space="preserve">• </w:t>
      </w:r>
      <w:r>
        <w:t>□ Повторный callback не создает дубль.</w:t>
      </w:r>
    </w:p>
    <w:p>
      <w:pPr>
        <w:ind w:left="230" w:hanging="144"/>
      </w:pPr>
      <w:r>
        <w:rPr>
          <w:b/>
        </w:rPr>
        <w:t xml:space="preserve">• </w:t>
      </w:r>
      <w:r>
        <w:t>□ Работают полный/частичный возврат и отмена.</w:t>
      </w:r>
    </w:p>
    <w:p>
      <w:pPr>
        <w:ind w:left="230" w:hanging="144"/>
      </w:pPr>
      <w:r>
        <w:rPr>
          <w:b/>
        </w:rPr>
        <w:t xml:space="preserve">• </w:t>
      </w:r>
      <w:r>
        <w:t>□ Служба поддержки понимает, где искать статус операции.</w:t>
      </w:r>
    </w:p>
    <w:p>
      <w:pPr>
        <w:pStyle w:val="Heading1"/>
      </w:pPr>
      <w:r>
        <w:t>4. Учет и сверка</w:t>
      </w:r>
    </w:p>
    <w:p>
      <w:pPr>
        <w:ind w:left="230" w:hanging="144"/>
      </w:pPr>
      <w:r>
        <w:rPr>
          <w:b/>
        </w:rPr>
        <w:t xml:space="preserve">• </w:t>
      </w:r>
      <w:r>
        <w:t>□ Назначен владелец ежедневной сверки.</w:t>
      </w:r>
    </w:p>
    <w:p>
      <w:pPr>
        <w:ind w:left="230" w:hanging="144"/>
      </w:pPr>
      <w:r>
        <w:rPr>
          <w:b/>
        </w:rPr>
        <w:t xml:space="preserve">• </w:t>
      </w:r>
      <w:r>
        <w:t>□ Определен источник истины: отчет банка/выписка/реестр.</w:t>
      </w:r>
    </w:p>
    <w:p>
      <w:pPr>
        <w:ind w:left="230" w:hanging="144"/>
      </w:pPr>
      <w:r>
        <w:rPr>
          <w:b/>
        </w:rPr>
        <w:t xml:space="preserve">• </w:t>
      </w:r>
      <w:r>
        <w:t>□ Настроено соответствие заказ ↔ платеж ↔ чек ↔ возврат.</w:t>
      </w:r>
    </w:p>
    <w:p>
      <w:pPr>
        <w:ind w:left="230" w:hanging="144"/>
      </w:pPr>
      <w:r>
        <w:rPr>
          <w:b/>
        </w:rPr>
        <w:t xml:space="preserve">• </w:t>
      </w:r>
      <w:r>
        <w:t>□ Описано, как данные попадают в 1С/ERP; прямой интеграции платформы Банка России с 1С не предполагается.</w:t>
      </w:r>
    </w:p>
    <w:p>
      <w:pPr>
        <w:ind w:left="230" w:hanging="144"/>
      </w:pPr>
      <w:r>
        <w:rPr>
          <w:b/>
        </w:rPr>
        <w:t xml:space="preserve">• </w:t>
      </w:r>
      <w:r>
        <w:t>□ Описаны действия при расхождении.</w:t>
      </w:r>
    </w:p>
    <w:p>
      <w:pPr>
        <w:pStyle w:val="Heading1"/>
      </w:pPr>
      <w:r>
        <w:t>5. Тестовый протокол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2880"/>
            <w:shd w:fill="1022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Сценарий</w:t>
            </w:r>
          </w:p>
        </w:tc>
        <w:tc>
          <w:tcPr>
            <w:tcW w:type="dxa" w:w="2304"/>
            <w:shd w:fill="1022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Ожидаемый результат</w:t>
            </w:r>
          </w:p>
        </w:tc>
        <w:tc>
          <w:tcPr>
            <w:tcW w:type="dxa" w:w="4320"/>
            <w:shd w:fill="1022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Критерий приемки</w:t>
            </w:r>
          </w:p>
        </w:tc>
      </w:tr>
      <w:tr>
        <w:tc>
          <w:tcPr>
            <w:tcW w:type="dxa" w:w="288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B313A"/>
                <w:sz w:val="17"/>
              </w:rPr>
              <w:t>Оплата офлайн</w:t>
            </w:r>
          </w:p>
        </w:tc>
        <w:tc>
          <w:tcPr>
            <w:tcW w:type="dxa" w:w="2304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B313A"/>
                <w:sz w:val="17"/>
              </w:rPr>
              <w:t>Успех</w:t>
            </w:r>
          </w:p>
        </w:tc>
        <w:tc>
          <w:tcPr>
            <w:tcW w:type="dxa" w:w="43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B313A"/>
                <w:sz w:val="17"/>
              </w:rPr>
              <w:t>Статус подтвержден, чек корректен</w:t>
            </w:r>
          </w:p>
        </w:tc>
      </w:tr>
      <w:tr>
        <w:tc>
          <w:tcPr>
            <w:tcW w:type="dxa" w:w="288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pPr>
              <w:spacing w:after="0"/>
            </w:pPr>
            <w:r>
              <w:rPr>
                <w:rFonts w:ascii="Arial" w:hAnsi="Arial"/>
                <w:color w:val="2B313A"/>
                <w:sz w:val="17"/>
              </w:rPr>
              <w:t>Оплата онлайн</w:t>
            </w:r>
          </w:p>
        </w:tc>
        <w:tc>
          <w:tcPr>
            <w:tcW w:type="dxa" w:w="2304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pPr>
              <w:spacing w:after="0"/>
            </w:pPr>
            <w:r>
              <w:rPr>
                <w:rFonts w:ascii="Arial" w:hAnsi="Arial"/>
                <w:color w:val="2B313A"/>
                <w:sz w:val="17"/>
              </w:rPr>
              <w:t>Успех</w:t>
            </w:r>
          </w:p>
        </w:tc>
        <w:tc>
          <w:tcPr>
            <w:tcW w:type="dxa" w:w="43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pPr>
              <w:spacing w:after="0"/>
            </w:pPr>
            <w:r>
              <w:rPr>
                <w:rFonts w:ascii="Arial" w:hAnsi="Arial"/>
                <w:color w:val="2B313A"/>
                <w:sz w:val="17"/>
              </w:rPr>
              <w:t>Заказ активирован только после подтверждения</w:t>
            </w:r>
          </w:p>
        </w:tc>
      </w:tr>
      <w:tr>
        <w:tc>
          <w:tcPr>
            <w:tcW w:type="dxa" w:w="288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B313A"/>
                <w:sz w:val="17"/>
              </w:rPr>
              <w:t>Полный возврат</w:t>
            </w:r>
          </w:p>
        </w:tc>
        <w:tc>
          <w:tcPr>
            <w:tcW w:type="dxa" w:w="2304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B313A"/>
                <w:sz w:val="17"/>
              </w:rPr>
              <w:t>Успех</w:t>
            </w:r>
          </w:p>
        </w:tc>
        <w:tc>
          <w:tcPr>
            <w:tcW w:type="dxa" w:w="43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B313A"/>
                <w:sz w:val="17"/>
              </w:rPr>
              <w:t>Сумма и статус совпадают</w:t>
            </w:r>
          </w:p>
        </w:tc>
      </w:tr>
      <w:tr>
        <w:tc>
          <w:tcPr>
            <w:tcW w:type="dxa" w:w="288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pPr>
              <w:spacing w:after="0"/>
            </w:pPr>
            <w:r>
              <w:rPr>
                <w:rFonts w:ascii="Arial" w:hAnsi="Arial"/>
                <w:color w:val="2B313A"/>
                <w:sz w:val="17"/>
              </w:rPr>
              <w:t>Частичный возврат</w:t>
            </w:r>
          </w:p>
        </w:tc>
        <w:tc>
          <w:tcPr>
            <w:tcW w:type="dxa" w:w="2304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pPr>
              <w:spacing w:after="0"/>
            </w:pPr>
            <w:r>
              <w:rPr>
                <w:rFonts w:ascii="Arial" w:hAnsi="Arial"/>
                <w:color w:val="2B313A"/>
                <w:sz w:val="17"/>
              </w:rPr>
              <w:t>Успех/не применимо</w:t>
            </w:r>
          </w:p>
        </w:tc>
        <w:tc>
          <w:tcPr>
            <w:tcW w:type="dxa" w:w="43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pPr>
              <w:spacing w:after="0"/>
            </w:pPr>
            <w:r>
              <w:rPr>
                <w:rFonts w:ascii="Arial" w:hAnsi="Arial"/>
                <w:color w:val="2B313A"/>
                <w:sz w:val="17"/>
              </w:rPr>
              <w:t>Сценарий подтвержден банком</w:t>
            </w:r>
          </w:p>
        </w:tc>
      </w:tr>
      <w:tr>
        <w:tc>
          <w:tcPr>
            <w:tcW w:type="dxa" w:w="288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B313A"/>
                <w:sz w:val="17"/>
              </w:rPr>
              <w:t>Таймаут</w:t>
            </w:r>
          </w:p>
        </w:tc>
        <w:tc>
          <w:tcPr>
            <w:tcW w:type="dxa" w:w="2304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B313A"/>
                <w:sz w:val="17"/>
              </w:rPr>
              <w:t>Без двойного списания</w:t>
            </w:r>
          </w:p>
        </w:tc>
        <w:tc>
          <w:tcPr>
            <w:tcW w:type="dxa" w:w="43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B313A"/>
                <w:sz w:val="17"/>
              </w:rPr>
              <w:t>Есть понятная инструкция сотруднику</w:t>
            </w:r>
          </w:p>
        </w:tc>
      </w:tr>
      <w:tr>
        <w:tc>
          <w:tcPr>
            <w:tcW w:type="dxa" w:w="288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pPr>
              <w:spacing w:after="0"/>
            </w:pPr>
            <w:r>
              <w:rPr>
                <w:rFonts w:ascii="Arial" w:hAnsi="Arial"/>
                <w:color w:val="2B313A"/>
                <w:sz w:val="17"/>
              </w:rPr>
              <w:t>Повтор callback/повторное сканирование</w:t>
            </w:r>
          </w:p>
        </w:tc>
        <w:tc>
          <w:tcPr>
            <w:tcW w:type="dxa" w:w="2304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pPr>
              <w:spacing w:after="0"/>
            </w:pPr>
            <w:r>
              <w:rPr>
                <w:rFonts w:ascii="Arial" w:hAnsi="Arial"/>
                <w:color w:val="2B313A"/>
                <w:sz w:val="17"/>
              </w:rPr>
              <w:t>Без дубля</w:t>
            </w:r>
          </w:p>
        </w:tc>
        <w:tc>
          <w:tcPr>
            <w:tcW w:type="dxa" w:w="43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pPr>
              <w:spacing w:after="0"/>
            </w:pPr>
            <w:r>
              <w:rPr>
                <w:rFonts w:ascii="Arial" w:hAnsi="Arial"/>
                <w:color w:val="2B313A"/>
                <w:sz w:val="17"/>
              </w:rPr>
              <w:t>Идемпотентность/защита подтверждена</w:t>
            </w:r>
          </w:p>
        </w:tc>
      </w:tr>
    </w:tbl>
    <w:p>
      <w:pPr>
        <w:pStyle w:val="Heading1"/>
      </w:pPr>
      <w:r>
        <w:t>6. Критерий рабочего контура</w:t>
      </w:r>
    </w:p>
    <w:p>
      <w:r>
        <w:t>Контур считается рабочим только если одновременно закрыты: договор/счет, прием хотя бы в одном обязательном реальном канале, подтверждение платежа, возврат, сверка, обучение сотрудников и контакт банка на инциденты.</w:t>
      </w:r>
    </w:p>
    <w:p>
      <w:pPr>
        <w:pStyle w:val="Heading1"/>
      </w:pPr>
      <w:r>
        <w:t>Источники</w:t>
      </w:r>
    </w:p>
    <w:p>
      <w:pPr>
        <w:pStyle w:val="Smallnote"/>
      </w:pPr>
      <w:r>
        <w:rPr>
          <w:b/>
        </w:rPr>
        <w:t xml:space="preserve">Банк России — «Прием оплаты в цифровых рублях»: </w:t>
      </w:r>
      <w:r>
        <w:t>https://www.cbr.ru/PSystem/dr/accepting_payments_dr/</w:t>
      </w:r>
    </w:p>
    <w:p>
      <w:pPr>
        <w:pStyle w:val="Smallnote"/>
      </w:pPr>
      <w:r>
        <w:rPr>
          <w:b/>
        </w:rPr>
        <w:t xml:space="preserve">Банк России — «Цифровой рубль: вопросы и ответы»: </w:t>
      </w:r>
      <w:r>
        <w:t>https://www.cbr.ru/faq/dr/</w:t>
      </w:r>
    </w:p>
    <w:p>
      <w:pPr>
        <w:pStyle w:val="Smallnote"/>
      </w:pPr>
      <w:r>
        <w:rPr>
          <w:b/>
        </w:rPr>
        <w:t xml:space="preserve">Банк России — стандарты платформы цифрового рубля: </w:t>
      </w:r>
      <w:r>
        <w:t>https://www.cbr.ru/PSystem/dr/doc_dr/standarts/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Вопросы банку и технический чек-лист  •  актуально на 06.09.2026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C99A42"/>
        <w:sz w:val="15"/>
      </w:rPr>
      <w:t>БИЗНЕС ПОД МИКРОСКОПОМ  •  БИЗНЕС-СРЕДА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2B31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Georgia" w:hAnsi="Georgia"/>
      <w:b/>
      <w:bCs/>
      <w:color w:val="10223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23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10223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/>
      <w:color w:val="10223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hAnsi="Arial"/>
      <w:color w:val="5F6670"/>
      <w:sz w:val="17"/>
    </w:rPr>
  </w:style>
  <w:style w:type="paragraph" w:customStyle="1" w:styleId="Callout">
    <w:name w:val="Callout"/>
    <w:pPr>
      <w:spacing w:after="60"/>
    </w:pPr>
    <w:rPr>
      <w:rFonts w:ascii="Arial" w:hAnsi="Arial"/>
      <w:b/>
      <w:color w:val="102238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Вопросы банку и технический чек-лист</dc:title>
  <dc:subject>Бизнес под микроскопом · Бизнес-среда · цифровой рубль</dc:subject>
  <dc:creator>python-docx</dc:creator>
  <cp:keywords/>
  <dc:description>Актуализировано 06.09.2026 после вступления первого обязательного этапа.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