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ТЕХНОЛОГИИ ДЛЯ БИЗНЕСА</w:t>
      </w:r>
    </w:p>
    <w:p>
      <w:pPr>
        <w:pStyle w:val="Title"/>
      </w:pPr>
      <w:r>
        <w:t>Компьютерное зрение для малого бизнеса — досье технологии</w:t>
      </w:r>
    </w:p>
    <w:p>
      <w:r>
        <w:rPr>
          <w:rFonts w:ascii="Georgia" w:hAnsi="Georgia"/>
          <w:color w:val="6E6B66"/>
          <w:sz w:val="24"/>
        </w:rPr>
        <w:t>Где камера действительно экономит деньги, а где превращается в дорогую игрушку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10080"/>
            <w:shd w:fill="C99A42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1D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ВЕРДИКТ</w:t>
            </w:r>
          </w:p>
          <w:p>
            <w:pPr>
              <w:spacing w:after="0"/>
            </w:pPr>
            <w:r>
              <w:rPr>
                <w:color w:val="2B313A"/>
              </w:rPr>
              <w:t>ВНЕДРЯТЬ ПОД КОНКРЕТНУЮ ПОТЕРЮ. Сначала бизнес формулирует измеримую проблему и действие, которое изменится после сигнала. Потом выбирается аналитика.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именно называется компьютерным зрением</w:t>
      </w:r>
    </w:p>
    <w:p>
      <w:r>
        <w:t>В этом комплекте под компьютерным зрением понимается автоматический анализ видеопотока: система обнаруживает людей или объекты, считает их, отслеживает присутствие в заданной зоне, формирует события и передаёт их в интерфейс или ответственному сотруднику. МТС в актуальном обзоре 2026 года отдельно описывает подсчёт посетителей, тепловые карты, контроль очередей и уведомления; VisionLabs документирует people count и анализ очередей; NtechLab — работу с зонами и событиями.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9F3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ПРАВИЛЬНАЯ АРХИТЕКТУРА</w:t>
            </w:r>
          </w:p>
          <w:p>
            <w:pPr>
              <w:spacing w:after="0"/>
            </w:pPr>
            <w:r>
              <w:rPr>
                <w:color w:val="2B313A"/>
              </w:rPr>
              <w:t>КАМЕРА → СОБЫТИЕ → ПОРОГ → УВЕДОМЛЕНИЕ → ДЕЙСТВИЕ → ИЗМЕРИМЫЙ KPI → ДЕНЕЖНЫЙ ЭФФЕКТ</w:t>
            </w:r>
          </w:p>
        </w:tc>
      </w:tr>
    </w:tbl>
    <w:p>
      <w:pPr>
        <w:spacing w:after="20"/>
      </w:pPr>
    </w:p>
    <w:p>
      <w:pPr>
        <w:pStyle w:val="Heading1"/>
      </w:pPr>
      <w:r>
        <w:t>2. Где возникает ценность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80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Задача</w:t>
            </w:r>
          </w:p>
        </w:tc>
        <w:tc>
          <w:tcPr>
            <w:tcW w:type="dxa" w:w="2232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видит система</w:t>
            </w:r>
          </w:p>
        </w:tc>
        <w:tc>
          <w:tcPr>
            <w:tcW w:type="dxa" w:w="2232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194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KPI</w:t>
            </w:r>
          </w:p>
        </w:tc>
        <w:tc>
          <w:tcPr>
            <w:tcW w:type="dxa" w:w="2232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Очередь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Число людей / время в зоне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Открыть резервную кассу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Время ожидания, потерянные чеки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Высокая, если есть резерв мощности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Поток посетителей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Входы/выходы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Сверить с чеками и графиком смен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Conversion, производительность смены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Высокая при корректной геометрии входа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Тепловые карты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Движение по зонам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Изменить выкладку и провести A/B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Продажи зоны/SKU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Средняя: эффект появляется только после изменения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Закрытая зона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Присутствие человека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Проверка события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Инциденты, время реакции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Высокая для конкретного риска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Loss prevention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Заданное событие риска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Проверить и отработать по регламенту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Подтверждённые предотвращённые потери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Требует аккуратной верификации</w:t>
            </w:r>
          </w:p>
        </w:tc>
      </w:tr>
      <w:tr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Контроль процесса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Наличие/отсутствие объекта/действия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Исправить процесс / обучить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Ошибки, переделки, простой</w:t>
            </w:r>
          </w:p>
        </w:tc>
        <w:tc>
          <w:tcPr>
            <w:tcW w:type="dxa" w:w="223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Высокая при повторяемом процессе</w:t>
            </w:r>
          </w:p>
        </w:tc>
      </w:tr>
    </w:tbl>
    <w:p>
      <w:pPr>
        <w:spacing w:after="40"/>
      </w:pPr>
    </w:p>
    <w:p>
      <w:pPr>
        <w:pStyle w:val="Heading1"/>
      </w:pPr>
      <w:r>
        <w:t>3. Где проект обычно ломается</w:t>
      </w:r>
    </w:p>
    <w:p>
      <w:pPr>
        <w:pStyle w:val="ListBullet"/>
      </w:pPr>
      <w:r>
        <w:t>Покупают «AI-камеры», а денежная проблема не определена.</w:t>
      </w:r>
    </w:p>
    <w:p>
      <w:pPr>
        <w:pStyle w:val="ListBullet"/>
      </w:pPr>
      <w:r>
        <w:t>Система генерирует события, но у сотрудников нет регламента реакции.</w:t>
      </w:r>
    </w:p>
    <w:p>
      <w:pPr>
        <w:pStyle w:val="ListBullet"/>
      </w:pPr>
      <w:r>
        <w:t>Камера стоит под неправильным углом, есть засветка, перекрытия, слишком широкий кадр или зона интереса не соответствует задаче.</w:t>
      </w:r>
    </w:p>
    <w:p>
      <w:pPr>
        <w:pStyle w:val="ListBullet"/>
      </w:pPr>
      <w:r>
        <w:t>В ROI одновременно считают несколько эффектов, которые на самом деле описывают один и тот же результат.</w:t>
      </w:r>
    </w:p>
    <w:p>
      <w:pPr>
        <w:pStyle w:val="ListBullet"/>
      </w:pPr>
      <w:r>
        <w:t>В пилоте нет baseline: после внедрения нечего сравнивать.</w:t>
      </w:r>
    </w:p>
    <w:p>
      <w:pPr>
        <w:pStyle w:val="ListBullet"/>
      </w:pPr>
      <w:r>
        <w:t>Проект масштабируют по точности алгоритма, а не по бизнес-KPI.</w:t>
      </w:r>
    </w:p>
    <w:p>
      <w:pPr>
        <w:pStyle w:val="ListBullet"/>
      </w:pPr>
      <w:r>
        <w:t>Распознавание личности добавляют «на всякий случай», резко повышая правовую и организационную сложность.</w:t>
      </w:r>
    </w:p>
    <w:p>
      <w:pPr>
        <w:pStyle w:val="Heading1"/>
      </w:pPr>
      <w:r>
        <w:t>4. Архитектурные варианты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01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Вариант</w:t>
            </w:r>
          </w:p>
        </w:tc>
        <w:tc>
          <w:tcPr>
            <w:tcW w:type="dxa" w:w="302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Плюсы</w:t>
            </w:r>
          </w:p>
        </w:tc>
        <w:tc>
          <w:tcPr>
            <w:tcW w:type="dxa" w:w="316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Минусы</w:t>
            </w:r>
          </w:p>
        </w:tc>
        <w:tc>
          <w:tcPr>
            <w:tcW w:type="dxa" w:w="230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Когда подходит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Аналитика в камере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Быстрый запуск, меньше трафика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Ограниченные модули, зависимость от модели камеры</w:t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Небольшой объект, 1–2 простых события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Облачная аналитика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Быстрый пилот, удалённый доступ, проще масштабировать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Подписка, канал связи, требования к хранению/данным</w:t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Малый бизнес и несколько точек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Локальный сервер / edge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Контроль над данными и задержкой, гибкая интеграция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CAPEX, администрирование, GPU/сервер</w:t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Сложные процессы и множество камер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Гибрид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Баланс локальной обработки и облака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Сложнее поддержка</w:t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Сеть точек с неодинаковой инфраструктурой</w:t>
            </w:r>
          </w:p>
        </w:tc>
      </w:tr>
    </w:tbl>
    <w:p>
      <w:pPr>
        <w:spacing w:after="40"/>
      </w:pPr>
    </w:p>
    <w:p>
      <w:pPr>
        <w:pStyle w:val="Heading1"/>
      </w:pPr>
      <w:r>
        <w:t>5. Экономика: что считать</w:t>
      </w:r>
    </w:p>
    <w:p>
      <w:r>
        <w:t>Полный TCO включает оборудование, сеть и PoE, монтаж, калибровку, VMS/шлюз, интеграцию уведомлений, облачное хранение, лицензии аналитики, поддержку и дополнительный интернет. В выгодах учитываются только подтверждённые эффекты: сокращённые потери продаж, реально высвобождённое время, подтверждённое снижение товарных потерь и измеримый uplift после A/B. Excel-модель специально разделяет CAPEX, OPEX и эффекты.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EBD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КЛЮЧЕВОЙ KPI</w:t>
            </w:r>
          </w:p>
          <w:p>
            <w:pPr>
              <w:spacing w:after="0"/>
            </w:pPr>
            <w:r>
              <w:rPr>
                <w:color w:val="2B313A"/>
              </w:rPr>
              <w:t>МИНИМАЛЬНЫЙ ЭФФЕКТ НА КАМЕРУ = (ежемесячный OPEX + CAPEX / целевой payback) / число камер. Если сценарий не способен дать такой эффект, его нельзя оправдать красивой аналитикой.</w:t>
            </w:r>
          </w:p>
        </w:tc>
      </w:tr>
    </w:tbl>
    <w:p>
      <w:pPr>
        <w:spacing w:after="20"/>
      </w:pPr>
    </w:p>
    <w:p>
      <w:pPr>
        <w:pStyle w:val="Heading1"/>
      </w:pPr>
      <w:r>
        <w:t>6. Правовой контур</w:t>
      </w:r>
    </w:p>
    <w:p>
      <w:r>
        <w:t>Базовый пилот в комплекте построен без идентификации личности: people count, очередь и зоны. Если проект переходит к распознаванию лиц или иной идентификации/аутентификации по биометрическим признакам, включается отдельный правовой контур. Федеральный закон №572-ФЗ регулирует идентификацию и аутентификацию с использованием биометрических персональных данных. Роскомнадзор указывает, что организация, обрабатывающая персональные данные, является оператором персональных данных и должна оценивать применимость требований 152-ФЗ, уведомления и исключений. Перед внедрением биометрического сценария нужен профильный юридический анализ конкретной схемы обработки.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9E6E6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НЕ ЮРИДИЧЕСКОЕ ЗАКЛЮЧЕНИЕ</w:t>
            </w:r>
          </w:p>
          <w:p>
            <w:pPr>
              <w:spacing w:after="0"/>
            </w:pPr>
            <w:r>
              <w:rPr>
                <w:color w:val="2B313A"/>
              </w:rPr>
              <w:t>Документы комплекта помогают заметить правовой триггер, но не заменяют проверку юриста, локальные документы оператора персональных данных, договоры с поставщиком, политику хранения и информационную безопасность.</w:t>
            </w:r>
          </w:p>
        </w:tc>
      </w:tr>
    </w:tbl>
    <w:p>
      <w:pPr>
        <w:spacing w:after="20"/>
      </w:pPr>
    </w:p>
    <w:p>
      <w:pPr>
        <w:pStyle w:val="Heading1"/>
      </w:pPr>
      <w:r>
        <w:t>7. Матрица решения GO / RECHECK / STOP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44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648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Условия</w:t>
            </w:r>
          </w:p>
        </w:tc>
        <w:tc>
          <w:tcPr>
            <w:tcW w:type="dxa" w:w="216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Что делать</w:t>
            </w:r>
          </w:p>
        </w:tc>
      </w:tr>
      <w:t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GO</w:t>
            </w:r>
          </w:p>
        </w:tc>
        <w:tc>
          <w:tcPr>
            <w:tcW w:type="dxa" w:w="64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Есть измеримая потеря; событие детектируется; есть действие; пилот подтверждает KPI; экономика положительная</w:t>
            </w: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Масштабировать постепенно</w:t>
            </w:r>
          </w:p>
        </w:tc>
      </w:tr>
      <w:t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RECHECK</w:t>
            </w:r>
          </w:p>
        </w:tc>
        <w:tc>
          <w:tcPr>
            <w:tcW w:type="dxa" w:w="64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Точность приемлема, но реакция персонала слабая; payback 12–18 мес.; эффект держится на одном допущении</w:t>
            </w: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Изменить регламент, камеру, порог или сценарий</w:t>
            </w:r>
          </w:p>
        </w:tc>
      </w:tr>
      <w:t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STOP</w:t>
            </w:r>
          </w:p>
        </w:tc>
        <w:tc>
          <w:tcPr>
            <w:tcW w:type="dxa" w:w="64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Нет денежной проблемы; нет действия после сигнала; net effect &lt;= 0; payback &gt; 18 мес.; биометрия без legal review</w:t>
            </w: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Не масштабировать</w:t>
            </w:r>
          </w:p>
        </w:tc>
      </w:tr>
    </w:tbl>
    <w:p>
      <w:pPr>
        <w:spacing w:after="40"/>
      </w:pPr>
    </w:p>
    <w:p>
      <w:pPr>
        <w:pStyle w:val="Heading1"/>
      </w:pPr>
      <w:r>
        <w:t>Источники и границы использования</w:t>
      </w:r>
    </w:p>
    <w:p>
      <w:r>
        <w:t>Фактчек: 23 августа 2026 года. Ссылки ниже подтверждают функциональные возможности, публичные ценовые ориентиры и правовой контур. Сценарные финансовые допущения в готовом примере не являются рыночной статистикой и должны заменяться данными конкретного бизнеса.</w:t>
      </w:r>
    </w:p>
    <w:p>
      <w:pPr>
        <w:pStyle w:val="Small"/>
      </w:pPr>
      <w:r>
        <w:rPr>
          <w:b/>
        </w:rPr>
        <w:t xml:space="preserve">МТС Редспот — «Видеоаналитика для бизнеса в 2026 году»: </w:t>
      </w:r>
      <w:r>
        <w:t>https://media.mts.ru/business/214580-videoanalitika-dlya-biznesa</w:t>
      </w:r>
    </w:p>
    <w:p>
      <w:pPr>
        <w:pStyle w:val="Small"/>
      </w:pPr>
      <w:r>
        <w:rPr>
          <w:b/>
        </w:rPr>
        <w:t xml:space="preserve">VisionLabs LUNA People Count documentation: </w:t>
      </w:r>
      <w:r>
        <w:t>https://docs.visionlabs.ai/luna/v.5.137.0/ServiceManuals/VideoAgentDevelopmentManual/_static/people-count-analytic.html</w:t>
      </w:r>
    </w:p>
    <w:p>
      <w:pPr>
        <w:pStyle w:val="Small"/>
      </w:pPr>
      <w:r>
        <w:rPr>
          <w:b/>
        </w:rPr>
        <w:t xml:space="preserve">VisionLabs LUNA Clementine — Queues: </w:t>
      </w:r>
      <w:r>
        <w:t>https://docs.visionlabs.ai/luna-clementine/2.36.1/user-manual/215_Queues/</w:t>
      </w:r>
    </w:p>
    <w:p>
      <w:pPr>
        <w:pStyle w:val="Small"/>
      </w:pPr>
      <w:r>
        <w:rPr>
          <w:b/>
        </w:rPr>
        <w:t xml:space="preserve">NtechLab FindFace Multi documentation — Areas: </w:t>
      </w:r>
      <w:r>
        <w:t>https://docs.ntechlab.com/projects/ffmulti/en/1.1/new.html</w:t>
      </w:r>
    </w:p>
    <w:p>
      <w:pPr>
        <w:pStyle w:val="Small"/>
      </w:pPr>
      <w:r>
        <w:rPr>
          <w:b/>
        </w:rPr>
        <w:t xml:space="preserve">Ростелеком — видеонаблюдение для бизнеса, публичные цены на камеры/VMS: </w:t>
      </w:r>
      <w:r>
        <w:t>https://msk.rt.ru/-zimenki-/b2b/videonabludenie</w:t>
      </w:r>
    </w:p>
    <w:p>
      <w:pPr>
        <w:pStyle w:val="Small"/>
      </w:pPr>
      <w:r>
        <w:rPr>
          <w:b/>
        </w:rPr>
        <w:t xml:space="preserve">МТС Бизнес — облачное видеонаблюдение и перечень аналитик: </w:t>
      </w:r>
      <w:r>
        <w:t>https://business.mts.ru/eao/oblachnoe-videonablyudenie</w:t>
      </w:r>
    </w:p>
    <w:p>
      <w:pPr>
        <w:pStyle w:val="Small"/>
      </w:pPr>
      <w:r>
        <w:rPr>
          <w:b/>
        </w:rPr>
        <w:t xml:space="preserve">Ivideon — видеоаналитика, публичные тарифы face analytics: </w:t>
      </w:r>
      <w:r>
        <w:t>https://ru.ivideon.com/analytics/</w:t>
      </w:r>
    </w:p>
    <w:p>
      <w:pPr>
        <w:pStyle w:val="Small"/>
      </w:pPr>
      <w:r>
        <w:rPr>
          <w:b/>
        </w:rPr>
        <w:t xml:space="preserve">Федеральный закон № 572-ФЗ: </w:t>
      </w:r>
      <w:r>
        <w:t>https://publication.pravo.gov.ru/Document/View/0001202212290024</w:t>
      </w:r>
    </w:p>
    <w:p>
      <w:pPr>
        <w:pStyle w:val="Small"/>
      </w:pPr>
      <w:r>
        <w:rPr>
          <w:b/>
        </w:rPr>
        <w:t xml:space="preserve">Роскомнадзор — информация для юридических лиц по персональным данным: </w:t>
      </w:r>
      <w:r>
        <w:t>https://82.rkn.gov.ru/directions/pers/p15375/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t>Разбираем. Анализируем. Объясняем.</w:t>
    </w:r>
  </w:p>
  <w:p>
    <w:pPr>
      <w:jc w:val="right"/>
    </w:pPr>
    <w: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left"/>
    </w:pPr>
    <w: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Georgia" w:hAnsi="Georgia"/>
      <w:b/>
      <w:bCs/>
      <w:color w:val="C99A4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hAnsi="Arial"/>
      <w:b/>
      <w:color w:val="C99A42"/>
      <w:sz w:val="16"/>
    </w:rPr>
  </w:style>
  <w:style w:type="paragraph" w:customStyle="1" w:styleId="Small">
    <w:name w:val="Small"/>
    <w:pPr>
      <w:spacing w:after="80"/>
    </w:pPr>
    <w:rPr>
      <w:rFonts w:ascii="Arial" w:hAnsi="Arial"/>
      <w:color w:val="6E6B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