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ТЕХНОЛОГИИ ДЛЯ БИЗНЕСА</w:t>
      </w:r>
    </w:p>
    <w:p>
      <w:pPr>
        <w:pStyle w:val="Title"/>
      </w:pPr>
      <w:r>
        <w:t>30-дневный пилот компьютерного зрения</w:t>
      </w:r>
    </w:p>
    <w:p>
      <w:r>
        <w:rPr>
          <w:rFonts w:ascii="Georgia" w:hAnsi="Georgia"/>
          <w:color w:val="6E6B66"/>
          <w:sz w:val="24"/>
        </w:rPr>
        <w:t>План эксперимента, KPI, журнал событий и критерии приёмки до масштабирования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10080"/>
            <w:shd w:fill="C99A42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0223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ЦЕЛЬ ПИЛОТА</w:t>
            </w:r>
          </w:p>
          <w:p>
            <w:pPr>
              <w:spacing w:after="0"/>
            </w:pPr>
            <w:r>
              <w:rPr>
                <w:color w:val="FFFFFF"/>
              </w:rPr>
              <w:t>Не доказать, что нейросеть умеет распознавать людей, а доказать, что конкретное событие меняет операционное действие и создаёт измеримый экономический эффект.</w:t>
            </w:r>
          </w:p>
        </w:tc>
      </w:tr>
    </w:tbl>
    <w:p>
      <w:pPr>
        <w:spacing w:after="20"/>
      </w:pPr>
    </w:p>
    <w:p>
      <w:pPr>
        <w:pStyle w:val="Heading1"/>
      </w:pPr>
      <w:r>
        <w:t>1. Scope пилота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01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316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518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Ограничение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Объект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1 небольшой магазин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Не сеть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Камеры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Допускается меньше при использовании существующих камер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Сценарии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Очередь + people count + зоны/heatmap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Не добавлять face recognition в базовый пилот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Длительность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30 дней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Минимум 7 дней baseline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Владелец KPI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Операционный руководитель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Не только IT/интегратор</w:t>
            </w:r>
          </w:p>
        </w:tc>
      </w:tr>
      <w:tr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Отчётность</w:t>
            </w:r>
          </w:p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Еженедельно + финальный отчёт</w:t>
            </w:r>
          </w:p>
        </w:tc>
        <w:tc>
          <w:tcPr>
            <w:tcW w:type="dxa" w:w="51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События, действия, KPI и ₽</w:t>
            </w:r>
          </w:p>
        </w:tc>
      </w:tr>
    </w:tbl>
    <w:p>
      <w:pPr>
        <w:spacing w:after="40"/>
      </w:pPr>
    </w:p>
    <w:p>
      <w:pPr>
        <w:pStyle w:val="Heading1"/>
      </w:pPr>
      <w:r>
        <w:t>2. Календарь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72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504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Работа</w:t>
            </w:r>
          </w:p>
        </w:tc>
        <w:tc>
          <w:tcPr>
            <w:tcW w:type="dxa" w:w="360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Результат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Дни 1–3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Разметка зон, проверка камер, интеграция уведомлений</w:t>
            </w: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Технический акт готовности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4–10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Baseline: аналитика считает, но операционный процесс не меняем</w:t>
            </w: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Исходные очереди, трафик, часы контроля, продажи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Дни 11–13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Калибровка порогов и разбор ложных событий</w:t>
            </w: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Утверждённые пороги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Дни 14–27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Активный пилот: уведомление → обязательное действие → журнал</w:t>
            </w: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Фактический operational effect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Дни 28–30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Финальный замер, сверка с POS/тайм-трекингом, ROI/TCO</w:t>
            </w:r>
          </w:p>
        </w:tc>
        <w:tc>
          <w:tcPr>
            <w:tcW w:type="dxa" w:w="3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GO / RECHECK / STOP</w:t>
            </w:r>
          </w:p>
        </w:tc>
      </w:tr>
    </w:tbl>
    <w:p>
      <w:pPr>
        <w:spacing w:after="40"/>
      </w:pPr>
    </w:p>
    <w:p>
      <w:pPr>
        <w:pStyle w:val="Heading1"/>
      </w:pPr>
      <w:r>
        <w:t>3. KPI приёмки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02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KPI</w:t>
            </w:r>
          </w:p>
        </w:tc>
        <w:tc>
          <w:tcPr>
            <w:tcW w:type="dxa" w:w="201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Цель</w:t>
            </w:r>
          </w:p>
        </w:tc>
        <w:tc>
          <w:tcPr>
            <w:tcW w:type="dxa" w:w="532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Как считать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Точность событий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&gt;= 90%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Доля корректных событий в вручную проверенной выборке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Ложные тревоги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&lt;= 10%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False positive / все события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Реакция персонала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&gt;= 85%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Валидные сигналы, по которым выполнено действие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Время очереди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-15% и более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Сравнение сопоставимых периодов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Ручной контроль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-30% и более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Фактически высвобождённые часы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Доступность сервиса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&gt;= 99%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7"/>
              </w:rPr>
              <w:t>Uptime за период пилота</w:t>
            </w:r>
          </w:p>
        </w:tc>
      </w:tr>
      <w:tr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Чистый экономический эффект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&gt; 0 ₽/мес.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7"/>
              </w:rPr>
              <w:t>Подтверждённый эффект минус recurring OPEX</w:t>
            </w:r>
          </w:p>
        </w:tc>
      </w:tr>
    </w:tbl>
    <w:p>
      <w:pPr>
        <w:spacing w:after="40"/>
      </w:pPr>
    </w:p>
    <w:p>
      <w:pPr>
        <w:pStyle w:val="Heading1"/>
      </w:pPr>
      <w:r>
        <w:t>4. Журнал события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rPr>
          <w:tblHeader w:val="true"/>
        </w:trPr>
        <w:tc>
          <w:tcPr>
            <w:tcW w:type="dxa" w:w="129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Дата/время</w:t>
            </w:r>
          </w:p>
        </w:tc>
        <w:tc>
          <w:tcPr>
            <w:tcW w:type="dxa" w:w="144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Камера/зона</w:t>
            </w:r>
          </w:p>
        </w:tc>
        <w:tc>
          <w:tcPr>
            <w:tcW w:type="dxa" w:w="194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Тип события</w:t>
            </w:r>
          </w:p>
        </w:tc>
        <w:tc>
          <w:tcPr>
            <w:tcW w:type="dxa" w:w="93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Верно?</w:t>
            </w:r>
          </w:p>
        </w:tc>
        <w:tc>
          <w:tcPr>
            <w:tcW w:type="dxa" w:w="144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Кто получил</w:t>
            </w:r>
          </w:p>
        </w:tc>
        <w:tc>
          <w:tcPr>
            <w:tcW w:type="dxa" w:w="180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Действие выполнено?</w:t>
            </w:r>
          </w:p>
        </w:tc>
        <w:tc>
          <w:tcPr>
            <w:tcW w:type="dxa" w:w="122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Время реакции</w:t>
            </w:r>
          </w:p>
        </w:tc>
        <w:tc>
          <w:tcPr>
            <w:tcW w:type="dxa" w:w="172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Результат</w:t>
            </w:r>
          </w:p>
        </w:tc>
      </w:tr>
      <w:tr>
        <w:tc>
          <w:tcPr>
            <w:tcW w:type="dxa" w:w="129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пример</w:t>
            </w:r>
          </w:p>
        </w:tc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Касса 1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Очередь &gt;=4 / 120 сек.</w:t>
            </w:r>
          </w:p>
        </w:tc>
        <w:tc>
          <w:tcPr>
            <w:tcW w:type="dxa" w:w="93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Да</w:t>
            </w:r>
          </w:p>
        </w:tc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Администратор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Да</w:t>
            </w:r>
          </w:p>
        </w:tc>
        <w:tc>
          <w:tcPr>
            <w:tcW w:type="dxa" w:w="122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75 сек.</w:t>
            </w:r>
          </w:p>
        </w:tc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4"/>
              </w:rPr>
              <w:t>Открыта касса 2</w:t>
            </w:r>
          </w:p>
        </w:tc>
      </w:tr>
    </w:tbl>
    <w:p>
      <w:pPr>
        <w:spacing w:after="40"/>
      </w:pPr>
    </w:p>
    <w:p>
      <w:pPr>
        <w:pStyle w:val="Heading1"/>
      </w:pPr>
      <w:r>
        <w:t>5. Как не исказить эксперимент</w:t>
      </w:r>
    </w:p>
    <w:p>
      <w:pPr>
        <w:pStyle w:val="ListBullet"/>
      </w:pPr>
      <w:r>
        <w:t>Сравнивать одинаковые дни недели и часы, отдельно отмечать промо/акции.</w:t>
      </w:r>
    </w:p>
    <w:p>
      <w:pPr>
        <w:pStyle w:val="ListBullet"/>
      </w:pPr>
      <w:r>
        <w:t>Не менять одновременно расписание, выкладку и правила работы касс без фиксации.</w:t>
      </w:r>
    </w:p>
    <w:p>
      <w:pPr>
        <w:pStyle w:val="ListBullet"/>
      </w:pPr>
      <w:r>
        <w:t>Не считать одно событие одновременно как «снижение очереди» и «рост конверсии», если это один эффект.</w:t>
      </w:r>
    </w:p>
    <w:p>
      <w:pPr>
        <w:pStyle w:val="ListBullet"/>
      </w:pPr>
      <w:r>
        <w:t>Ручную верификацию делать на выборке событий из разных часов и разных сцен.</w:t>
      </w:r>
    </w:p>
    <w:p>
      <w:pPr>
        <w:pStyle w:val="ListBullet"/>
      </w:pPr>
      <w:r>
        <w:t>Финальный ROI строить на фактическом эффекте пилота, а не на презентации поставщика.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1D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КРИТЕРИЙ ОСТАНОВКИ</w:t>
            </w:r>
          </w:p>
          <w:p>
            <w:pPr>
              <w:spacing w:after="0"/>
            </w:pPr>
            <w:r>
              <w:rPr>
                <w:color w:val="2B313A"/>
              </w:rPr>
              <w:t>Если система точна, но сотрудники не реагируют, сначала исправляется процесс. Если после исправления процесса денежного эффекта нет — STOP.</w:t>
            </w:r>
          </w:p>
        </w:tc>
      </w:tr>
    </w:tbl>
    <w:p>
      <w:pPr>
        <w:spacing w:after="20"/>
      </w:pPr>
    </w:p>
    <w:p>
      <w:pPr>
        <w:pStyle w:val="Heading1"/>
      </w:pPr>
      <w:r>
        <w:t>Источники и границы использования</w:t>
      </w:r>
    </w:p>
    <w:p>
      <w:r>
        <w:t>Фактчек: 23 августа 2026 года. Ссылки ниже подтверждают функциональные возможности, публичные ценовые ориентиры и правовой контур. Сценарные финансовые допущения в готовом примере не являются рыночной статистикой и должны заменяться данными конкретного бизнеса.</w:t>
      </w:r>
    </w:p>
    <w:p>
      <w:pPr>
        <w:pStyle w:val="Small"/>
      </w:pPr>
      <w:r>
        <w:rPr>
          <w:b/>
        </w:rPr>
        <w:t xml:space="preserve">МТС Редспот — «Видеоаналитика для бизнеса в 2026 году»: </w:t>
      </w:r>
      <w:r>
        <w:t>https://media.mts.ru/business/214580-videoanalitika-dlya-biznesa</w:t>
      </w:r>
    </w:p>
    <w:p>
      <w:pPr>
        <w:pStyle w:val="Small"/>
      </w:pPr>
      <w:r>
        <w:rPr>
          <w:b/>
        </w:rPr>
        <w:t xml:space="preserve">VisionLabs LUNA People Count documentation: </w:t>
      </w:r>
      <w:r>
        <w:t>https://docs.visionlabs.ai/luna/v.5.137.0/ServiceManuals/VideoAgentDevelopmentManual/_static/people-count-analytic.html</w:t>
      </w:r>
    </w:p>
    <w:p>
      <w:pPr>
        <w:pStyle w:val="Small"/>
      </w:pPr>
      <w:r>
        <w:rPr>
          <w:b/>
        </w:rPr>
        <w:t xml:space="preserve">VisionLabs LUNA Clementine — Queues: </w:t>
      </w:r>
      <w:r>
        <w:t>https://docs.visionlabs.ai/luna-clementine/2.36.1/user-manual/215_Queues/</w:t>
      </w:r>
    </w:p>
    <w:p>
      <w:pPr>
        <w:pStyle w:val="Small"/>
      </w:pPr>
      <w:r>
        <w:rPr>
          <w:b/>
        </w:rPr>
        <w:t xml:space="preserve">NtechLab FindFace Multi documentation — Areas: </w:t>
      </w:r>
      <w:r>
        <w:t>https://docs.ntechlab.com/projects/ffmulti/en/1.1/new.html</w:t>
      </w:r>
    </w:p>
    <w:p>
      <w:pPr>
        <w:pStyle w:val="Small"/>
      </w:pPr>
      <w:r>
        <w:rPr>
          <w:b/>
        </w:rPr>
        <w:t xml:space="preserve">Ростелеком — видеонаблюдение для бизнеса, публичные цены на камеры/VMS: </w:t>
      </w:r>
      <w:r>
        <w:t>https://msk.rt.ru/-zimenki-/b2b/videonabludenie</w:t>
      </w:r>
    </w:p>
    <w:p>
      <w:pPr>
        <w:pStyle w:val="Small"/>
      </w:pPr>
      <w:r>
        <w:rPr>
          <w:b/>
        </w:rPr>
        <w:t xml:space="preserve">МТС Бизнес — облачное видеонаблюдение и перечень аналитик: </w:t>
      </w:r>
      <w:r>
        <w:t>https://business.mts.ru/eao/oblachnoe-videonablyudenie</w:t>
      </w:r>
    </w:p>
    <w:p>
      <w:pPr>
        <w:pStyle w:val="Small"/>
      </w:pPr>
      <w:r>
        <w:rPr>
          <w:b/>
        </w:rPr>
        <w:t xml:space="preserve">Ivideon — видеоаналитика, публичные тарифы face analytics: </w:t>
      </w:r>
      <w:r>
        <w:t>https://ru.ivideon.com/analytics/</w:t>
      </w:r>
    </w:p>
    <w:p>
      <w:pPr>
        <w:pStyle w:val="Small"/>
      </w:pPr>
      <w:r>
        <w:rPr>
          <w:b/>
        </w:rPr>
        <w:t xml:space="preserve">Федеральный закон № 572-ФЗ: </w:t>
      </w:r>
      <w:r>
        <w:t>https://publication.pravo.gov.ru/Document/View/0001202212290024</w:t>
      </w:r>
    </w:p>
    <w:p>
      <w:pPr>
        <w:pStyle w:val="Small"/>
      </w:pPr>
      <w:r>
        <w:rPr>
          <w:b/>
        </w:rPr>
        <w:t xml:space="preserve">Роскомнадзор — информация для юридических лиц по персональным данным: </w:t>
      </w:r>
      <w:r>
        <w:t>https://82.rkn.gov.ru/directions/pers/p15375/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t>Разбираем. Анализируем. Объясняем.</w:t>
    </w:r>
  </w:p>
  <w:p>
    <w:pPr>
      <w:jc w:val="right"/>
    </w:pPr>
    <w: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left"/>
    </w:pPr>
    <w: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Georgia" w:hAnsi="Georgia"/>
      <w:b/>
      <w:bCs/>
      <w:color w:val="C99A4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hAnsi="Arial"/>
      <w:b/>
      <w:color w:val="C99A42"/>
      <w:sz w:val="16"/>
    </w:rPr>
  </w:style>
  <w:style w:type="paragraph" w:customStyle="1" w:styleId="Small">
    <w:name w:val="Small"/>
    <w:pPr>
      <w:spacing w:after="80"/>
    </w:pPr>
    <w:rPr>
      <w:rFonts w:ascii="Arial" w:hAnsi="Arial"/>
      <w:color w:val="6E6B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