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ТЕХНОЛОГИИ ДЛЯ БИЗНЕСА</w:t>
      </w:r>
    </w:p>
    <w:p>
      <w:pPr>
        <w:pStyle w:val="Title"/>
      </w:pPr>
      <w:r>
        <w:t>Сценарии применения и аудит готовности объекта</w:t>
      </w:r>
    </w:p>
    <w:p>
      <w:r>
        <w:rPr>
          <w:rFonts w:ascii="Georgia" w:hAnsi="Georgia"/>
          <w:color w:val="6E6B66"/>
          <w:sz w:val="24"/>
        </w:rPr>
        <w:t>Матрица задач, техническая проверка камер и бизнес-процесса до запроса коммерческого предложения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10080"/>
            <w:shd w:fill="C99A42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5EBDD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C99A42"/>
                <w:sz w:val="16"/>
              </w:rPr>
              <w:t>ЦЕЛЬ ДОКУМЕНТА</w:t>
            </w:r>
          </w:p>
          <w:p>
            <w:pPr>
              <w:spacing w:after="0"/>
            </w:pPr>
            <w:r>
              <w:rPr>
                <w:color w:val="2B313A"/>
              </w:rPr>
              <w:t>Отделить задачи, которые действительно можно измерить камерой, от задач, где бизнес пытается заменить технологией отсутствующий процесс.</w:t>
            </w:r>
          </w:p>
        </w:tc>
      </w:tr>
    </w:tbl>
    <w:p>
      <w:pPr>
        <w:spacing w:after="20"/>
      </w:pPr>
    </w:p>
    <w:p>
      <w:pPr>
        <w:pStyle w:val="Heading1"/>
      </w:pPr>
      <w:r>
        <w:t>1. Матрица сценариев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 w:val="true"/>
        </w:trPr>
        <w:tc>
          <w:tcPr>
            <w:tcW w:type="dxa" w:w="1728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Бизнес</w:t>
            </w:r>
          </w:p>
        </w:tc>
        <w:tc>
          <w:tcPr>
            <w:tcW w:type="dxa" w:w="2016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Задача</w:t>
            </w:r>
          </w:p>
        </w:tc>
        <w:tc>
          <w:tcPr>
            <w:tcW w:type="dxa" w:w="1800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Зона</w:t>
            </w:r>
          </w:p>
        </w:tc>
        <w:tc>
          <w:tcPr>
            <w:tcW w:type="dxa" w:w="2088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Событие</w:t>
            </w:r>
          </w:p>
        </w:tc>
        <w:tc>
          <w:tcPr>
            <w:tcW w:type="dxa" w:w="2448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Действие</w:t>
            </w:r>
          </w:p>
        </w:tc>
        <w:tc>
          <w:tcPr>
            <w:tcW w:type="dxa" w:w="1944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KPI</w:t>
            </w:r>
          </w:p>
        </w:tc>
      </w:tr>
      <w:t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Розничный магазин</w:t>
            </w:r>
          </w:p>
        </w:tc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Очередь</w:t>
            </w:r>
          </w:p>
        </w:tc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Кассовая зона</w:t>
            </w:r>
          </w:p>
        </w:tc>
        <w:tc>
          <w:tcPr>
            <w:tcW w:type="dxa" w:w="208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Порог людей + время</w:t>
            </w:r>
          </w:p>
        </w:tc>
        <w:tc>
          <w:tcPr>
            <w:tcW w:type="dxa" w:w="244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Администратор открывает кассу</w:t>
            </w:r>
          </w:p>
        </w:tc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Время ожидания; lost sales</w:t>
            </w:r>
          </w:p>
        </w:tc>
      </w:tr>
      <w:t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5"/>
              </w:rPr>
              <w:t>Розничный магазин</w:t>
            </w:r>
          </w:p>
        </w:tc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5"/>
              </w:rPr>
              <w:t>Поток/конверсия</w:t>
            </w:r>
          </w:p>
        </w:tc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5"/>
              </w:rPr>
              <w:t>Вход</w:t>
            </w:r>
          </w:p>
        </w:tc>
        <w:tc>
          <w:tcPr>
            <w:tcW w:type="dxa" w:w="208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5"/>
              </w:rPr>
              <w:t>Вход/выход</w:t>
            </w:r>
          </w:p>
        </w:tc>
        <w:tc>
          <w:tcPr>
            <w:tcW w:type="dxa" w:w="244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5"/>
              </w:rPr>
              <w:t>Сверка с POS</w:t>
            </w:r>
          </w:p>
        </w:tc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5"/>
              </w:rPr>
              <w:t>Чеки / посетители</w:t>
            </w:r>
          </w:p>
        </w:tc>
      </w:tr>
      <w:t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Магазин/кафе</w:t>
            </w:r>
          </w:p>
        </w:tc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Тепловая карта</w:t>
            </w:r>
          </w:p>
        </w:tc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Торговый зал</w:t>
            </w:r>
          </w:p>
        </w:tc>
        <w:tc>
          <w:tcPr>
            <w:tcW w:type="dxa" w:w="208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Трафик по зоне</w:t>
            </w:r>
          </w:p>
        </w:tc>
        <w:tc>
          <w:tcPr>
            <w:tcW w:type="dxa" w:w="244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Меняем выкладку/зонирование</w:t>
            </w:r>
          </w:p>
        </w:tc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Продажи зоны после A/B</w:t>
            </w:r>
          </w:p>
        </w:tc>
      </w:tr>
      <w:t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5"/>
              </w:rPr>
              <w:t>ПВЗ</w:t>
            </w:r>
          </w:p>
        </w:tc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5"/>
              </w:rPr>
              <w:t>Очередь</w:t>
            </w:r>
          </w:p>
        </w:tc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5"/>
              </w:rPr>
              <w:t>Зона ожидания</w:t>
            </w:r>
          </w:p>
        </w:tc>
        <w:tc>
          <w:tcPr>
            <w:tcW w:type="dxa" w:w="208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5"/>
              </w:rPr>
              <w:t>Число людей</w:t>
            </w:r>
          </w:p>
        </w:tc>
        <w:tc>
          <w:tcPr>
            <w:tcW w:type="dxa" w:w="244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5"/>
              </w:rPr>
              <w:t>Перераспределение сотрудника</w:t>
            </w:r>
          </w:p>
        </w:tc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5"/>
              </w:rPr>
              <w:t>Время ожидания</w:t>
            </w:r>
          </w:p>
        </w:tc>
      </w:tr>
      <w:t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Сервисная точка</w:t>
            </w:r>
          </w:p>
        </w:tc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Контроль зоны</w:t>
            </w:r>
          </w:p>
        </w:tc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Приёмка/выдача</w:t>
            </w:r>
          </w:p>
        </w:tc>
        <w:tc>
          <w:tcPr>
            <w:tcW w:type="dxa" w:w="208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Присутствие/событие</w:t>
            </w:r>
          </w:p>
        </w:tc>
        <w:tc>
          <w:tcPr>
            <w:tcW w:type="dxa" w:w="244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Проверка спорной ситуации</w:t>
            </w:r>
          </w:p>
        </w:tc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Инциденты / время разбора</w:t>
            </w:r>
          </w:p>
        </w:tc>
      </w:tr>
      <w:t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5"/>
              </w:rPr>
              <w:t>Небольшой склад</w:t>
            </w:r>
          </w:p>
        </w:tc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5"/>
              </w:rPr>
              <w:t>Опасная/закрытая зона</w:t>
            </w:r>
          </w:p>
        </w:tc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5"/>
              </w:rPr>
              <w:t>Проход/зона</w:t>
            </w:r>
          </w:p>
        </w:tc>
        <w:tc>
          <w:tcPr>
            <w:tcW w:type="dxa" w:w="208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5"/>
              </w:rPr>
              <w:t>Вход в зону</w:t>
            </w:r>
          </w:p>
        </w:tc>
        <w:tc>
          <w:tcPr>
            <w:tcW w:type="dxa" w:w="244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5"/>
              </w:rPr>
              <w:t>Уведомление ответственного</w:t>
            </w:r>
          </w:p>
        </w:tc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5"/>
              </w:rPr>
              <w:t>Инциденты</w:t>
            </w:r>
          </w:p>
        </w:tc>
      </w:tr>
      <w:tr>
        <w:tc>
          <w:tcPr>
            <w:tcW w:type="dxa" w:w="172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Производство</w:t>
            </w:r>
          </w:p>
        </w:tc>
        <w:tc>
          <w:tcPr>
            <w:tcW w:type="dxa" w:w="201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Контроль процесса</w:t>
            </w:r>
          </w:p>
        </w:tc>
        <w:tc>
          <w:tcPr>
            <w:tcW w:type="dxa" w:w="18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Рабочая зона</w:t>
            </w:r>
          </w:p>
        </w:tc>
        <w:tc>
          <w:tcPr>
            <w:tcW w:type="dxa" w:w="208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Пропуск шага/наличие объекта</w:t>
            </w:r>
          </w:p>
        </w:tc>
        <w:tc>
          <w:tcPr>
            <w:tcW w:type="dxa" w:w="244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Исправление / остановка</w:t>
            </w:r>
          </w:p>
        </w:tc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5"/>
              </w:rPr>
              <w:t>Переделка, брак, простой</w:t>
            </w:r>
          </w:p>
        </w:tc>
      </w:tr>
    </w:tbl>
    <w:p>
      <w:pPr>
        <w:spacing w:after="40"/>
      </w:pPr>
    </w:p>
    <w:p>
      <w:pPr>
        <w:pStyle w:val="Heading1"/>
      </w:pPr>
      <w:r>
        <w:t>2. Аудит камеры и сцены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1944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Проверка</w:t>
            </w:r>
          </w:p>
        </w:tc>
        <w:tc>
          <w:tcPr>
            <w:tcW w:type="dxa" w:w="7056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Критерий</w:t>
            </w:r>
          </w:p>
        </w:tc>
        <w:tc>
          <w:tcPr>
            <w:tcW w:type="dxa" w:w="1512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Статус</w:t>
            </w:r>
          </w:p>
        </w:tc>
      </w:tr>
      <w:t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Геометрия</w:t>
            </w:r>
          </w:p>
        </w:tc>
        <w:tc>
          <w:tcPr>
            <w:tcW w:type="dxa" w:w="705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Камера видит всю зону интереса без слепых зон</w:t>
            </w:r>
          </w:p>
        </w:tc>
        <w:tc>
          <w:tcPr>
            <w:tcW w:type="dxa" w:w="151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GO / RECHECK</w:t>
            </w:r>
          </w:p>
        </w:tc>
      </w:tr>
      <w:t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Высота и угол</w:t>
            </w:r>
          </w:p>
        </w:tc>
        <w:tc>
          <w:tcPr>
            <w:tcW w:type="dxa" w:w="705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Объекты не перекрывают друг друга критически</w:t>
            </w:r>
          </w:p>
        </w:tc>
        <w:tc>
          <w:tcPr>
            <w:tcW w:type="dxa" w:w="151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GO / RECHECK</w:t>
            </w:r>
          </w:p>
        </w:tc>
      </w:tr>
      <w:t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Освещение</w:t>
            </w:r>
          </w:p>
        </w:tc>
        <w:tc>
          <w:tcPr>
            <w:tcW w:type="dxa" w:w="705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Нет постоянной засветки/контрового света; ночной режим проверен</w:t>
            </w:r>
          </w:p>
        </w:tc>
        <w:tc>
          <w:tcPr>
            <w:tcW w:type="dxa" w:w="151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GO / RECHECK</w:t>
            </w:r>
          </w:p>
        </w:tc>
      </w:tr>
      <w:t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Разрешение</w:t>
            </w:r>
          </w:p>
        </w:tc>
        <w:tc>
          <w:tcPr>
            <w:tcW w:type="dxa" w:w="705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Достаточно для выбранного алгоритма; не путать с «чем больше мегапикселей, тем лучше»</w:t>
            </w:r>
          </w:p>
        </w:tc>
        <w:tc>
          <w:tcPr>
            <w:tcW w:type="dxa" w:w="151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GO / RECHECK</w:t>
            </w:r>
          </w:p>
        </w:tc>
      </w:tr>
      <w:t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Стабильность потока</w:t>
            </w:r>
          </w:p>
        </w:tc>
        <w:tc>
          <w:tcPr>
            <w:tcW w:type="dxa" w:w="705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RTSP/сеть стабильны, packet loss и обрывы измерены</w:t>
            </w:r>
          </w:p>
        </w:tc>
        <w:tc>
          <w:tcPr>
            <w:tcW w:type="dxa" w:w="151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GO / STOP</w:t>
            </w:r>
          </w:p>
        </w:tc>
      </w:tr>
      <w:t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Часы работы</w:t>
            </w:r>
          </w:p>
        </w:tc>
        <w:tc>
          <w:tcPr>
            <w:tcW w:type="dxa" w:w="705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Сцена протестирована в утренний, пиковый и вечерний период</w:t>
            </w:r>
          </w:p>
        </w:tc>
        <w:tc>
          <w:tcPr>
            <w:tcW w:type="dxa" w:w="151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GO / RECHECK</w:t>
            </w:r>
          </w:p>
        </w:tc>
      </w:tr>
      <w:t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ROI-зона</w:t>
            </w:r>
          </w:p>
        </w:tc>
        <w:tc>
          <w:tcPr>
            <w:tcW w:type="dxa" w:w="705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В кадре определена конкретная область анализа, а не весь кадр без необходимости</w:t>
            </w:r>
          </w:p>
        </w:tc>
        <w:tc>
          <w:tcPr>
            <w:tcW w:type="dxa" w:w="151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GO / RECHECK</w:t>
            </w:r>
          </w:p>
        </w:tc>
      </w:tr>
      <w:tr>
        <w:tc>
          <w:tcPr>
            <w:tcW w:type="dxa" w:w="194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Событие</w:t>
            </w:r>
          </w:p>
        </w:tc>
        <w:tc>
          <w:tcPr>
            <w:tcW w:type="dxa" w:w="705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Порог и длительность события соответствуют бизнес-процессу</w:t>
            </w:r>
          </w:p>
        </w:tc>
        <w:tc>
          <w:tcPr>
            <w:tcW w:type="dxa" w:w="151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GO / RECHECK</w:t>
            </w:r>
          </w:p>
        </w:tc>
      </w:tr>
    </w:tbl>
    <w:p>
      <w:pPr>
        <w:spacing w:after="40"/>
      </w:pPr>
    </w:p>
    <w:p>
      <w:pPr>
        <w:pStyle w:val="Heading1"/>
      </w:pPr>
      <w:r>
        <w:t>3. Аудит процесса</w:t>
      </w:r>
    </w:p>
    <w:p>
      <w:pPr>
        <w:pStyle w:val="ListBullet"/>
      </w:pPr>
      <w:r>
        <w:t>Есть владелец KPI — конкретный человек, а не «директор и IT вместе».</w:t>
      </w:r>
    </w:p>
    <w:p>
      <w:pPr>
        <w:pStyle w:val="ListBullet"/>
      </w:pPr>
      <w:r>
        <w:t>На каждое событие прописано действие и максимальное время реакции.</w:t>
      </w:r>
    </w:p>
    <w:p>
      <w:pPr>
        <w:pStyle w:val="ListBullet"/>
      </w:pPr>
      <w:r>
        <w:t>Есть baseline минимум за 5–7 сопоставимых рабочих дней.</w:t>
      </w:r>
    </w:p>
    <w:p>
      <w:pPr>
        <w:pStyle w:val="ListBullet"/>
      </w:pPr>
      <w:r>
        <w:t>Доступны данные POS/CRM/тайм-трекинга, с которыми можно связать событие.</w:t>
      </w:r>
    </w:p>
    <w:p>
      <w:pPr>
        <w:pStyle w:val="ListBullet"/>
      </w:pPr>
      <w:r>
        <w:t>Можно отделить эффект видеоаналитики от сезонности, промо и изменений графика.</w:t>
      </w:r>
    </w:p>
    <w:p>
      <w:pPr>
        <w:pStyle w:val="ListBullet"/>
      </w:pPr>
      <w:r>
        <w:t>Нет конфликтующего KPI: например, уменьшение персонала одновременно с требованием мгновенно открывать резервную кассу.</w:t>
      </w:r>
    </w:p>
    <w:p>
      <w:pPr>
        <w:pStyle w:val="ListBullet"/>
      </w:pPr>
      <w:r>
        <w:t>Поставщик готов выгружать события/статистику, а не только показывать дашборд.</w:t>
      </w:r>
    </w:p>
    <w:p>
      <w:pPr>
        <w:pStyle w:val="Heading1"/>
      </w:pPr>
      <w:r>
        <w:t>4. Аудит данных и права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2880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Ситуация</w:t>
            </w:r>
          </w:p>
        </w:tc>
        <w:tc>
          <w:tcPr>
            <w:tcW w:type="dxa" w:w="6048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Что проверить</w:t>
            </w:r>
          </w:p>
        </w:tc>
        <w:tc>
          <w:tcPr>
            <w:tcW w:type="dxa" w:w="1584"/>
            <w:shd w:fill="102238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Когда</w:t>
            </w:r>
          </w:p>
        </w:tc>
      </w:tr>
      <w:tr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Идентификация человека не нужна</w:t>
            </w:r>
          </w:p>
        </w:tc>
        <w:tc>
          <w:tcPr>
            <w:tcW w:type="dxa" w:w="604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Использовать people count / zones без идентификации</w:t>
            </w:r>
          </w:p>
        </w:tc>
        <w:tc>
          <w:tcPr>
            <w:tcW w:type="dxa" w:w="15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Базовый путь</w:t>
            </w:r>
          </w:p>
        </w:tc>
      </w:tr>
      <w:tr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Нужно распознавание лиц</w:t>
            </w:r>
          </w:p>
        </w:tc>
        <w:tc>
          <w:tcPr>
            <w:tcW w:type="dxa" w:w="604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Legal review 152-ФЗ/572-ФЗ, договоры, цели, хранение, безопасность</w:t>
            </w:r>
          </w:p>
        </w:tc>
        <w:tc>
          <w:tcPr>
            <w:tcW w:type="dxa" w:w="15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Отдельный проект</w:t>
            </w:r>
          </w:p>
        </w:tc>
      </w:tr>
      <w:tr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Видео хранится в облаке</w:t>
            </w:r>
          </w:p>
        </w:tc>
        <w:tc>
          <w:tcPr>
            <w:tcW w:type="dxa" w:w="604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Проверить договор, место обработки/хранения, сроки, роли доступа</w:t>
            </w:r>
          </w:p>
        </w:tc>
        <w:tc>
          <w:tcPr>
            <w:tcW w:type="dxa" w:w="15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До запуска</w:t>
            </w:r>
          </w:p>
        </w:tc>
      </w:tr>
      <w:tr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События отправляются третьей системе</w:t>
            </w:r>
          </w:p>
        </w:tc>
        <w:tc>
          <w:tcPr>
            <w:tcW w:type="dxa" w:w="604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Проверить состав передаваемых данных и доступы</w:t>
            </w:r>
          </w:p>
        </w:tc>
        <w:tc>
          <w:tcPr>
            <w:tcW w:type="dxa" w:w="15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sz w:val="16"/>
              </w:rPr>
              <w:t>До интеграции</w:t>
            </w:r>
          </w:p>
        </w:tc>
      </w:tr>
      <w:tr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Сотрудники попадают в кадр</w:t>
            </w:r>
          </w:p>
        </w:tc>
        <w:tc>
          <w:tcPr>
            <w:tcW w:type="dxa" w:w="604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Проверить локальные документы и цели обработки</w:t>
            </w:r>
          </w:p>
        </w:tc>
        <w:tc>
          <w:tcPr>
            <w:tcW w:type="dxa" w:w="1584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BF8F2"/>
          </w:tcPr>
          <w:p>
            <w:r>
              <w:rPr>
                <w:sz w:val="16"/>
              </w:rPr>
              <w:t>До постоянного мониторинга</w:t>
            </w:r>
          </w:p>
        </w:tc>
      </w:tr>
    </w:tbl>
    <w:p>
      <w:pPr>
        <w:spacing w:after="40"/>
      </w:pPr>
    </w:p>
    <w:p>
      <w:pPr>
        <w:pStyle w:val="Heading1"/>
      </w:pPr>
      <w:r>
        <w:t>5. Что запросить у поставщика</w:t>
      </w:r>
    </w:p>
    <w:p>
      <w:pPr>
        <w:pStyle w:val="ListNumber"/>
      </w:pPr>
      <w:r>
        <w:t>Архитектуру: где выполняется аналитика, где хранятся видео и события.</w:t>
      </w:r>
    </w:p>
    <w:p>
      <w:pPr>
        <w:pStyle w:val="ListNumber"/>
      </w:pPr>
      <w:r>
        <w:t>Список поддерживаемых камер/протоколов и требования к сцене.</w:t>
      </w:r>
    </w:p>
    <w:p>
      <w:pPr>
        <w:pStyle w:val="ListNumber"/>
      </w:pPr>
      <w:r>
        <w:t>Цену отдельно: оборудование, монтаж, лицензия, хранение, поддержка, интеграции.</w:t>
      </w:r>
    </w:p>
    <w:p>
      <w:pPr>
        <w:pStyle w:val="ListNumber"/>
      </w:pPr>
      <w:r>
        <w:t>SLA, условия поддержки и процедуру восстановления после обрыва камеры/сервиса.</w:t>
      </w:r>
    </w:p>
    <w:p>
      <w:pPr>
        <w:pStyle w:val="ListNumber"/>
      </w:pPr>
      <w:r>
        <w:t>Как измеряется точность именно выбранного сценария и какие ограничения известны.</w:t>
      </w:r>
    </w:p>
    <w:p>
      <w:pPr>
        <w:pStyle w:val="ListNumber"/>
      </w:pPr>
      <w:r>
        <w:t>Выгрузку событий и API/интеграционные возможности.</w:t>
      </w:r>
    </w:p>
    <w:p>
      <w:pPr>
        <w:pStyle w:val="ListNumber"/>
      </w:pPr>
      <w:r>
        <w:t>Условия пилота и возможность прекратить его без обязательного масштабирования.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9E6E6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/>
                <w:b/>
                <w:color w:val="C99A42"/>
                <w:sz w:val="16"/>
              </w:rPr>
              <w:t>STOP ДО КП</w:t>
            </w:r>
          </w:p>
          <w:p>
            <w:pPr>
              <w:spacing w:after="0"/>
            </w:pPr>
            <w:r>
              <w:rPr>
                <w:color w:val="2B313A"/>
              </w:rPr>
              <w:t>Если бизнес не может заполнить колонку «действие после сигнала» и назвать KPI, запрос коммерческого предложения преждевременен.</w:t>
            </w:r>
          </w:p>
        </w:tc>
      </w:tr>
    </w:tbl>
    <w:p>
      <w:pPr>
        <w:spacing w:after="20"/>
      </w:pPr>
    </w:p>
    <w:p>
      <w:pPr>
        <w:pStyle w:val="Heading1"/>
      </w:pPr>
      <w:r>
        <w:t>Источники и границы использования</w:t>
      </w:r>
    </w:p>
    <w:p>
      <w:r>
        <w:t>Фактчек: 23 августа 2026 года. Ссылки ниже подтверждают функциональные возможности, публичные ценовые ориентиры и правовой контур. Сценарные финансовые допущения в готовом примере не являются рыночной статистикой и должны заменяться данными конкретного бизнеса.</w:t>
      </w:r>
    </w:p>
    <w:p>
      <w:pPr>
        <w:pStyle w:val="Small"/>
      </w:pPr>
      <w:r>
        <w:rPr>
          <w:b/>
        </w:rPr>
        <w:t xml:space="preserve">МТС Редспот — «Видеоаналитика для бизнеса в 2026 году»: </w:t>
      </w:r>
      <w:r>
        <w:t>https://media.mts.ru/business/214580-videoanalitika-dlya-biznesa</w:t>
      </w:r>
    </w:p>
    <w:p>
      <w:pPr>
        <w:pStyle w:val="Small"/>
      </w:pPr>
      <w:r>
        <w:rPr>
          <w:b/>
        </w:rPr>
        <w:t xml:space="preserve">VisionLabs LUNA People Count documentation: </w:t>
      </w:r>
      <w:r>
        <w:t>https://docs.visionlabs.ai/luna/v.5.137.0/ServiceManuals/VideoAgentDevelopmentManual/_static/people-count-analytic.html</w:t>
      </w:r>
    </w:p>
    <w:p>
      <w:pPr>
        <w:pStyle w:val="Small"/>
      </w:pPr>
      <w:r>
        <w:rPr>
          <w:b/>
        </w:rPr>
        <w:t xml:space="preserve">VisionLabs LUNA Clementine — Queues: </w:t>
      </w:r>
      <w:r>
        <w:t>https://docs.visionlabs.ai/luna-clementine/2.36.1/user-manual/215_Queues/</w:t>
      </w:r>
    </w:p>
    <w:p>
      <w:pPr>
        <w:pStyle w:val="Small"/>
      </w:pPr>
      <w:r>
        <w:rPr>
          <w:b/>
        </w:rPr>
        <w:t xml:space="preserve">NtechLab FindFace Multi documentation — Areas: </w:t>
      </w:r>
      <w:r>
        <w:t>https://docs.ntechlab.com/projects/ffmulti/en/1.1/new.html</w:t>
      </w:r>
    </w:p>
    <w:p>
      <w:pPr>
        <w:pStyle w:val="Small"/>
      </w:pPr>
      <w:r>
        <w:rPr>
          <w:b/>
        </w:rPr>
        <w:t xml:space="preserve">Ростелеком — видеонаблюдение для бизнеса, публичные цены на камеры/VMS: </w:t>
      </w:r>
      <w:r>
        <w:t>https://msk.rt.ru/-zimenki-/b2b/videonabludenie</w:t>
      </w:r>
    </w:p>
    <w:p>
      <w:pPr>
        <w:pStyle w:val="Small"/>
      </w:pPr>
      <w:r>
        <w:rPr>
          <w:b/>
        </w:rPr>
        <w:t xml:space="preserve">МТС Бизнес — облачное видеонаблюдение и перечень аналитик: </w:t>
      </w:r>
      <w:r>
        <w:t>https://business.mts.ru/eao/oblachnoe-videonablyudenie</w:t>
      </w:r>
    </w:p>
    <w:p>
      <w:pPr>
        <w:pStyle w:val="Small"/>
      </w:pPr>
      <w:r>
        <w:rPr>
          <w:b/>
        </w:rPr>
        <w:t xml:space="preserve">Ivideon — видеоаналитика, публичные тарифы face analytics: </w:t>
      </w:r>
      <w:r>
        <w:t>https://ru.ivideon.com/analytics/</w:t>
      </w:r>
    </w:p>
    <w:p>
      <w:pPr>
        <w:pStyle w:val="Small"/>
      </w:pPr>
      <w:r>
        <w:rPr>
          <w:b/>
        </w:rPr>
        <w:t xml:space="preserve">Федеральный закон № 572-ФЗ: </w:t>
      </w:r>
      <w:r>
        <w:t>https://publication.pravo.gov.ru/Document/View/0001202212290024</w:t>
      </w:r>
    </w:p>
    <w:p>
      <w:pPr>
        <w:pStyle w:val="Small"/>
      </w:pPr>
      <w:r>
        <w:rPr>
          <w:b/>
        </w:rPr>
        <w:t xml:space="preserve">Роскомнадзор — информация для юридических лиц по персональным данным: </w:t>
      </w:r>
      <w:r>
        <w:t>https://82.rkn.gov.ru/directions/pers/p15375/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t>Разбираем. Анализируем. Объясняем.</w:t>
    </w:r>
  </w:p>
  <w:p>
    <w:pPr>
      <w:jc w:val="right"/>
    </w:pPr>
    <w:r>
      <w:t xml:space="preserve">Стр.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jc w:val="left"/>
    </w:pPr>
    <w:r>
      <w:t>БИЗНЕС ПОД МИКРОСКОПОМ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2B31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Georgia" w:hAnsi="Georgia"/>
      <w:b/>
      <w:bCs/>
      <w:color w:val="102238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Georgia" w:hAnsi="Georgia"/>
      <w:b/>
      <w:bCs/>
      <w:color w:val="102238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Georgia" w:hAnsi="Georgia"/>
      <w:b/>
      <w:bCs/>
      <w:color w:val="C99A42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02238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100"/>
    </w:pPr>
    <w:rPr>
      <w:rFonts w:ascii="Arial" w:hAnsi="Arial"/>
      <w:b/>
      <w:color w:val="C99A42"/>
      <w:sz w:val="16"/>
    </w:rPr>
  </w:style>
  <w:style w:type="paragraph" w:customStyle="1" w:styleId="Small">
    <w:name w:val="Small"/>
    <w:pPr>
      <w:spacing w:after="80"/>
    </w:pPr>
    <w:rPr>
      <w:rFonts w:ascii="Arial" w:hAnsi="Arial"/>
      <w:color w:val="6E6B66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