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65C20"/>
          <w:sz w:val="18"/>
        </w:rPr>
        <w:t>ТЕХНОЛОГИИ</w:t>
      </w:r>
    </w:p>
    <w:p>
      <w:pPr>
        <w:pStyle w:val="Title"/>
      </w:pPr>
      <w:r>
        <w:t>Аудит готовности и 30-дневный пилот ESL</w:t>
      </w:r>
    </w:p>
    <w:p>
      <w:r>
        <w:rPr>
          <w:color w:val="697181"/>
          <w:sz w:val="24"/>
        </w:rPr>
        <w:t>Перед закупкой: baseline, архитектура, критерии приёмки и GO / RECHECK / STOP</w:t>
      </w:r>
    </w:p>
    <w:p>
      <w:pPr>
        <w:pBdr>
          <w:bottom w:val="single" w:sz="10" w:space="4" w:color="B3976A"/>
        </w:pBdr>
      </w:pPr>
      <w:r>
        <w:rPr>
          <w:b/>
          <w:sz w:val="20"/>
        </w:rPr>
        <w:t>БИЗНЕС ПОД МИКРОСКОПОМ</w:t>
      </w:r>
      <w:r>
        <w:rPr>
          <w:color w:val="697181"/>
        </w:rPr>
        <w:t xml:space="preserve">  •  фактчек 02.09.2026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E65C20"/>
                <w:sz w:val="18"/>
              </w:rPr>
              <w:t>ПРАВИЛО</w:t>
              <w:br/>
            </w:r>
            <w:r>
              <w:rPr>
                <w:color w:val="0E1E35"/>
                <w:sz w:val="21"/>
              </w:rPr>
              <w:t>Не начинайте с коммерческого предложения на весь магазин. Сначала измерьте ручную переоценку и расхождения, затем соберите пилот в одной зоне или категории.</w:t>
            </w:r>
          </w:p>
        </w:tc>
      </w:tr>
    </w:tbl>
    <w:p/>
    <w:p>
      <w:pPr>
        <w:pStyle w:val="Heading1"/>
      </w:pPr>
      <w:r>
        <w:t>1. Быстрый readiness-аудит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2541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2541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2541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Gate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Источник цены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Есть один утверждённый master цены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STOP, если касса и полка живут отдельно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Интеграция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Показан поток 1С/ERP → ESL → подтверждение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RECHECK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Касса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Та же цена применяется POS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STOP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Baseline труда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Измерены часы печати/замены/контроля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Сначала измерить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Ошибки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Есть журнал полка/касса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Создать журнал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Покрытие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Проведено обследование зала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Пилот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Крепления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Решение для полок/холода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RECHECK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Эксплуатация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Назначен владелец исключений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Назначить</w:t>
            </w:r>
          </w:p>
        </w:tc>
      </w:tr>
      <w:t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Экономика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Посчитан TCO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□ Да  □ Нет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STOP до расчёта</w:t>
            </w:r>
          </w:p>
        </w:tc>
      </w:tr>
    </w:tbl>
    <w:p/>
    <w:p>
      <w:pPr>
        <w:pStyle w:val="Heading1"/>
      </w:pPr>
      <w:r>
        <w:t>2. Baseline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Как измерить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Период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Часы работы с ценниками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Печать + сортировка + обход + замена + контроль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2–4 недели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Количество изменений цены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Выгрузка из учётной системы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 дням и категориям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Расхождения полка/касса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Журнал касс/возвратов + обходы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≥4 недель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Расходы на печать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Бумага, ленты/картриджи, обслуживание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3 месяца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Списания / markdown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Контрольная категория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4–8 недель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Время сборки заказов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Если тестируется pick-to-light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До/после</w:t>
            </w:r>
          </w:p>
        </w:tc>
      </w:tr>
    </w:tbl>
    <w:p/>
    <w:p>
      <w:pPr>
        <w:pStyle w:val="Heading1"/>
      </w:pPr>
      <w:r>
        <w:t>3. Контур пилота</w:t>
      </w:r>
    </w:p>
    <w:p>
      <w:pPr>
        <w:pStyle w:val="ListNumber"/>
        <w:spacing w:after="80"/>
      </w:pPr>
      <w:r>
        <w:t>Выберите 100–500 позиций с высокой частотой изменения цены.</w:t>
      </w:r>
    </w:p>
    <w:p>
      <w:pPr>
        <w:pStyle w:val="ListNumber"/>
        <w:spacing w:after="80"/>
      </w:pPr>
      <w:r>
        <w:t>Зафиксируйте контрольную группу или корректный до/после baseline.</w:t>
      </w:r>
    </w:p>
    <w:p>
      <w:pPr>
        <w:pStyle w:val="ListNumber"/>
        <w:spacing w:after="80"/>
      </w:pPr>
      <w:r>
        <w:t>Настройте один источник цены и передачу в POS и ESL.</w:t>
      </w:r>
    </w:p>
    <w:p>
      <w:pPr>
        <w:pStyle w:val="ListNumber"/>
        <w:spacing w:after="80"/>
      </w:pPr>
      <w:r>
        <w:t>Проверьте шаблон ценника без перегруза.</w:t>
      </w:r>
    </w:p>
    <w:p>
      <w:pPr>
        <w:pStyle w:val="ListNumber"/>
        <w:spacing w:after="80"/>
      </w:pPr>
      <w:r>
        <w:t>Проведите radio-survey.</w:t>
      </w:r>
    </w:p>
    <w:p>
      <w:pPr>
        <w:pStyle w:val="ListNumber"/>
        <w:spacing w:after="80"/>
      </w:pPr>
      <w:r>
        <w:t>Привяжите SKU ↔ ESL двойным сканированием и сохраните лог.</w:t>
      </w:r>
    </w:p>
    <w:p>
      <w:pPr>
        <w:pStyle w:val="ListNumber"/>
        <w:spacing w:after="80"/>
      </w:pPr>
      <w:r>
        <w:t>Запустите массовую переоценку и проверьте подтверждения.</w:t>
      </w:r>
    </w:p>
    <w:p>
      <w:pPr>
        <w:pStyle w:val="ListNumber"/>
        <w:spacing w:after="80"/>
      </w:pPr>
      <w:r>
        <w:t>30 дней ведите журнал исключений.</w:t>
      </w:r>
    </w:p>
    <w:p>
      <w:pPr>
        <w:pStyle w:val="ListNumber"/>
        <w:spacing w:after="80"/>
      </w:pPr>
      <w:r>
        <w:t>Пересчитайте ROI только по фактическим данным пилота.</w:t>
      </w:r>
    </w:p>
    <w:p>
      <w:pPr>
        <w:pStyle w:val="Heading1"/>
      </w:pPr>
      <w:r>
        <w:t>4. Acceptance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Порог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Успешное обновление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≥99,5% в контрольном окне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Нужен факт устройства, не только отправка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Массовая переоценка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≤15 минут для пилотной зоны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Порог можно менять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Расхождения полка/касса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≤1 случай/мес. в пилотной зоне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Сравнить с baseline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Экономия времени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Достаточная для целевой окупаемости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BASE 500 ESL и 36 мес. ≈7,7 ч/нед.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Работа исключений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100% проблемных ESL видимы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Иначе автоматизация скрывает проблему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Окупаемость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≤36 GO; 36–60 RECHECK; &gt;60 STOP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Управленческий порог</w:t>
            </w:r>
          </w:p>
        </w:tc>
      </w:tr>
    </w:tbl>
    <w:p/>
    <w:p>
      <w:pPr>
        <w:pStyle w:val="Heading1"/>
      </w:pPr>
      <w:r>
        <w:t>5. Запрос поставщику</w:t>
      </w:r>
    </w:p>
    <w:p>
      <w:pPr>
        <w:pStyle w:val="ListBullet"/>
        <w:spacing w:after="60"/>
      </w:pPr>
      <w:r>
        <w:t>Какая модель ESL и сколько обновлений/день заложено в срок батареи?</w:t>
      </w:r>
    </w:p>
    <w:p>
      <w:pPr>
        <w:pStyle w:val="ListBullet"/>
        <w:spacing w:after="60"/>
      </w:pPr>
      <w:r>
        <w:t>Облако или on-prem; что при потере интернета?</w:t>
      </w:r>
    </w:p>
    <w:p>
      <w:pPr>
        <w:pStyle w:val="ListBullet"/>
        <w:spacing w:after="60"/>
      </w:pPr>
      <w:r>
        <w:t>Какие API/файлы доступны, есть ли готовая обработка под нашу 1С?</w:t>
      </w:r>
    </w:p>
    <w:p>
      <w:pPr>
        <w:pStyle w:val="ListBullet"/>
        <w:spacing w:after="60"/>
      </w:pPr>
      <w:r>
        <w:t>Как подтверждается обновление конкретного ESL?</w:t>
      </w:r>
    </w:p>
    <w:p>
      <w:pPr>
        <w:pStyle w:val="ListBullet"/>
        <w:spacing w:after="60"/>
      </w:pPr>
      <w:r>
        <w:t>Сколько станций нужно по плану помещения?</w:t>
      </w:r>
    </w:p>
    <w:p>
      <w:pPr>
        <w:pStyle w:val="ListBullet"/>
        <w:spacing w:after="60"/>
      </w:pPr>
      <w:r>
        <w:t>Что входит в цену: крепления, монтаж, привязка, шаблоны, обучение, интеграция, SLA?</w:t>
      </w:r>
    </w:p>
    <w:p>
      <w:pPr>
        <w:pStyle w:val="ListBullet"/>
        <w:spacing w:after="60"/>
      </w:pPr>
      <w:r>
        <w:t>Стоимость замены/ремонта и запасного фонда?</w:t>
      </w:r>
    </w:p>
    <w:p>
      <w:pPr>
        <w:pStyle w:val="ListBullet"/>
        <w:spacing w:after="60"/>
      </w:pPr>
      <w:r>
        <w:t>Можно ли мигрировать без полной замены оборудования?</w:t>
      </w:r>
    </w:p>
    <w:p>
      <w:pPr>
        <w:pStyle w:val="Heading1"/>
      </w:pPr>
      <w:r>
        <w:t>6. Протокол 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Когда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GO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Технические KPI пройдены, время экономится, синхронизация стабильна, TCO в пороге.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RECHECK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Технология работает, но экономика слабая: уменьшить охват/цену или доказать use case.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STOP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Нет единого источника цены, интеграция нестабильна или окупаемость не проходит.</w:t>
            </w:r>
          </w:p>
        </w:tc>
      </w:tr>
    </w:tbl>
    <w:p/>
    <w:p>
      <w:pPr>
        <w:pStyle w:val="Heading1"/>
        <w:spacing w:before="100" w:after="60"/>
      </w:pPr>
      <w:r>
        <w:t>Источники и границы доказательности</w:t>
      </w:r>
    </w:p>
    <w:p>
      <w:pPr>
        <w:spacing w:after="60" w:line="228" w:lineRule="auto"/>
      </w:pPr>
      <w:r>
        <w:rPr>
          <w:sz w:val="17"/>
        </w:rPr>
        <w:t>Публичные цены и кейсы поставщиков используются как ориентиры, а не как независимая гарантия результата. Сценарные цифры в расчётах помечены как допущения.</w:t>
      </w:r>
    </w:p>
    <w:p>
      <w:pPr>
        <w:spacing w:after="20" w:line="221" w:lineRule="auto"/>
      </w:pPr>
      <w:r>
        <w:rPr>
          <w:b/>
          <w:sz w:val="16"/>
        </w:rPr>
        <w:t xml:space="preserve">1. MERTECH — электронные ценники. </w:t>
      </w:r>
      <w:r>
        <w:rPr>
          <w:sz w:val="16"/>
        </w:rPr>
        <w:t xml:space="preserve">Публичные цены и состав ESL-системы на дату проверки. </w:t>
      </w:r>
      <w:r>
        <w:rPr>
          <w:color w:val="1F4E79"/>
          <w:sz w:val="16"/>
        </w:rPr>
        <w:t>https://mertech.ru/ehlektronnye-cenniki/</w:t>
      </w:r>
    </w:p>
    <w:p>
      <w:pPr>
        <w:spacing w:after="20" w:line="221" w:lineRule="auto"/>
      </w:pPr>
      <w:r>
        <w:rPr>
          <w:b/>
          <w:sz w:val="16"/>
        </w:rPr>
        <w:t xml:space="preserve">2. MY BEACON ESL. </w:t>
      </w:r>
      <w:r>
        <w:rPr>
          <w:sz w:val="16"/>
        </w:rPr>
        <w:t xml:space="preserve">Публичные цены, тарифы 100/500 ценников, базовая станция, интеграция и заявленный срок батареи. </w:t>
      </w:r>
      <w:r>
        <w:rPr>
          <w:color w:val="1F4E79"/>
          <w:sz w:val="16"/>
        </w:rPr>
        <w:t>https://my-beacon.ru/esl/html/</w:t>
      </w:r>
    </w:p>
    <w:p>
      <w:pPr>
        <w:spacing w:after="20" w:line="221" w:lineRule="auto"/>
      </w:pPr>
      <w:r>
        <w:rPr>
          <w:b/>
          <w:sz w:val="16"/>
        </w:rPr>
        <w:t xml:space="preserve">3. MERTECH — кейс внедрения. </w:t>
      </w:r>
      <w:r>
        <w:rPr>
          <w:sz w:val="16"/>
        </w:rPr>
        <w:t xml:space="preserve">Поставщик указывает, что кейс анонимный и собирательный; используем только как ориентир процесса. </w:t>
      </w:r>
      <w:r>
        <w:rPr>
          <w:color w:val="1F4E79"/>
          <w:sz w:val="16"/>
        </w:rPr>
        <w:t>https://mertech.ru/blog/elektronnye-cenniki-dlya-magazinov/kak-set-magazinov-uskorila-pereocenku-tovarov-s-pomoschyu-mertech-esl/</w:t>
      </w:r>
    </w:p>
    <w:p>
      <w:pPr>
        <w:spacing w:after="20" w:line="221" w:lineRule="auto"/>
      </w:pPr>
      <w:r>
        <w:rPr>
          <w:b/>
          <w:sz w:val="16"/>
        </w:rPr>
        <w:t xml:space="preserve">4. 1С:Предприятие — интеграция. </w:t>
      </w:r>
      <w:r>
        <w:rPr>
          <w:sz w:val="16"/>
        </w:rPr>
        <w:t xml:space="preserve">Официальное описание HTTP/REST/JSON/OData и интеграционных возможностей платформы. </w:t>
      </w:r>
      <w:r>
        <w:rPr>
          <w:color w:val="1F4E79"/>
          <w:sz w:val="16"/>
        </w:rPr>
        <w:t>https://v8.1c.ru/platforma/integraciya/</w:t>
      </w:r>
    </w:p>
    <w:p>
      <w:pPr>
        <w:spacing w:after="20" w:line="221" w:lineRule="auto"/>
      </w:pPr>
      <w:r>
        <w:rPr>
          <w:b/>
          <w:sz w:val="16"/>
        </w:rPr>
        <w:t xml:space="preserve">5. Роспотребнадзор — цена на ценнике и в чеке. </w:t>
      </w:r>
      <w:r>
        <w:rPr>
          <w:sz w:val="16"/>
        </w:rPr>
        <w:t xml:space="preserve">Официальное разъяснение от 24.02.2026 о праве покупателя требовать цену, указанную на ценнике. </w:t>
      </w:r>
      <w:r>
        <w:rPr>
          <w:color w:val="1F4E79"/>
          <w:sz w:val="16"/>
        </w:rPr>
        <w:t>https://zpp.rospotrebnadzor.ru/news/federal/571579</w:t>
      </w:r>
    </w:p>
    <w:p>
      <w:pPr>
        <w:spacing w:after="20" w:line="221" w:lineRule="auto"/>
      </w:pPr>
      <w:r>
        <w:rPr>
          <w:b/>
          <w:sz w:val="16"/>
        </w:rPr>
        <w:t xml:space="preserve">6. Walmart — digital shelf labels. </w:t>
      </w:r>
      <w:r>
        <w:rPr>
          <w:sz w:val="16"/>
        </w:rPr>
        <w:t xml:space="preserve">Собственный кейс крупного ритейлера; показывает масштабный эффект, но не переносится напрямую на малый магазин. </w:t>
      </w:r>
      <w:r>
        <w:rPr>
          <w:color w:val="1F4E79"/>
          <w:sz w:val="16"/>
        </w:rPr>
        <w:t>https://corporate.walmart.com/news/2026/03/02/how-the-shelf-got-smarter-and-our-jobs-got-easier</w:t>
      </w:r>
    </w:p>
    <w:p>
      <w:pPr>
        <w:spacing w:after="20" w:line="221" w:lineRule="auto"/>
      </w:pPr>
      <w:r>
        <w:rPr>
          <w:b/>
          <w:sz w:val="16"/>
        </w:rPr>
        <w:t xml:space="preserve">7. Management Science — ESL и menu costs. </w:t>
      </w:r>
      <w:r>
        <w:rPr>
          <w:sz w:val="16"/>
        </w:rPr>
        <w:t xml:space="preserve">Peer-reviewed исследование: эффект ESL может выходить за пределы экономии труда, особенно в категориях с коротким сроком жизни товара. </w:t>
      </w:r>
      <w:r>
        <w:rPr>
          <w:color w:val="1F4E79"/>
          <w:sz w:val="16"/>
        </w:rPr>
        <w:t>https://pubsonline.informs.org/doi/abs/10.1287/mnsc.2019.3551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181"/>
        <w:sz w:val="16"/>
      </w:rPr>
      <w:t>Бизнес под микроскопом  •  02.09.2026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E1E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1E35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E1E35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E65C2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E1E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