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65C20"/>
          <w:sz w:val="18"/>
        </w:rPr>
        <w:t>ТЕХНОЛОГИИ</w:t>
      </w:r>
    </w:p>
    <w:p>
      <w:pPr>
        <w:pStyle w:val="Title"/>
      </w:pPr>
      <w:r>
        <w:t>Электронные ценники (ESL): досье технологии</w:t>
      </w:r>
    </w:p>
    <w:p>
      <w:r>
        <w:rPr>
          <w:color w:val="697181"/>
          <w:sz w:val="24"/>
        </w:rPr>
        <w:t>Как работает ценовой контур, из чего складывается TCO и когда технология экономически оправдана малому бизнесу</w:t>
      </w:r>
    </w:p>
    <w:p>
      <w:pPr>
        <w:pBdr>
          <w:bottom w:val="single" w:sz="10" w:space="4" w:color="B3976A"/>
        </w:pBdr>
      </w:pPr>
      <w:r>
        <w:rPr>
          <w:b/>
          <w:sz w:val="20"/>
        </w:rPr>
        <w:t>БИЗНЕС ПОД МИКРОСКОПОМ</w:t>
      </w:r>
      <w:r>
        <w:rPr>
          <w:color w:val="697181"/>
        </w:rPr>
        <w:t xml:space="preserve">  •  фактчек 02.09.2026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E65C20"/>
                <w:sz w:val="18"/>
              </w:rPr>
              <w:t>КОРОТКИЙ ВЫВОД</w:t>
              <w:br/>
            </w:r>
            <w:r>
              <w:rPr>
                <w:color w:val="0E1E35"/>
                <w:sz w:val="21"/>
              </w:rPr>
              <w:t>Полный переход на ESL редко оправдывается одной экономией бумаги. Сильная экономика появляется там, где магазин регулярно тратит часы на переоценку, часто запускает акции/markdown, имеет много полочных позиций и способен связать учётную систему, ESL и кассу через единый источник цены.</w:t>
            </w:r>
          </w:p>
        </w:tc>
      </w:tr>
    </w:tbl>
    <w:p/>
    <w:p>
      <w:pPr>
        <w:pStyle w:val="Heading1"/>
      </w:pPr>
      <w:r>
        <w:t>1. Что на самом деле покупает магазин</w:t>
      </w:r>
    </w:p>
    <w:p>
      <w:r>
        <w:t>Электронный ценник — только видимая часть системы. Проект ESL состоит из полочных дисплеев, базовых станций или приёмников, платформы управления, шаблонов, креплений, мониторинга и интеграции с системой, где формируется цена. Если последнее звено отсутствует, магазин получает дорогой экран, но не автоматизированный процесс.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Слой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Типовой риск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Учётная / ERP / 1С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Формирует номенклатуру, цены, акции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Две параллельные «правды» о цене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ESL-платформа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Принимает данные и отправляет обновления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Нет подтверждения доставки или логов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Базовая станция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Связь с торговым залом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Мёртвые зоны, металл, холодильники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Полочный ценник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Показывает цену и статус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Неверная привязка к SKU, батарея, повреждение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POS / касса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Применяет цену при продаже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Цена обновилась только на полке или только в кассе</w:t>
            </w:r>
          </w:p>
        </w:tc>
      </w:tr>
    </w:tbl>
    <w:p/>
    <w:p>
      <w:pPr>
        <w:pStyle w:val="Heading1"/>
      </w:pPr>
      <w:r>
        <w:t>2. Как должен идти поток цены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E65C20"/>
                <w:sz w:val="18"/>
              </w:rPr>
              <w:t>ПРАВИЛЬНАЯ АРХИТЕКТУРА</w:t>
              <w:br/>
            </w:r>
            <w:r>
              <w:rPr>
                <w:color w:val="0E1E35"/>
                <w:sz w:val="21"/>
              </w:rPr>
              <w:t>Цена утверждается в одном источнике → согласованно уходит в кассовый контур и ESL-платформу → ценник подтверждает обновление → система показывает исключения. Цель — не «быстро отправить цену», а доказать, что касса и полка синхронны.</w:t>
            </w:r>
          </w:p>
        </w:tc>
      </w:tr>
    </w:tbl>
    <w:p/>
    <w:p>
      <w:r>
        <w:t>1С официально поддерживает интеграцию с внешними системами через HTTP-сервисы, web-сервисы, JSON, XML и OData. Российские поставщики ESL отдельно заявляют совместимость или типовые интеграции с 1С. Но «совместимо» не равно «подключается без проекта»: нужно проверить конфигурацию 1С, схему цен, промо, правила магазина и права доступа.</w:t>
      </w:r>
    </w:p>
    <w:p>
      <w:pPr>
        <w:pStyle w:val="Heading1"/>
      </w:pPr>
      <w:r>
        <w:t>3. Что стоит оборудование на российском рынке</w:t>
      </w:r>
    </w:p>
    <w:p>
      <w:r>
        <w:t>На 2 сентября 2026 года у российских поставщиков есть публичные розничные ориентиры. Они не равны финальной стоимости проекта: оптовые скидки, крепления, интеграция и монтаж меняют итог.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Ориентир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Публичная цена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Комментарий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MERTECH ESL 2,13″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640 ₽/шт.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Публичный каталог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MERTECH ESL 2,67″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840 ₽/шт.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Публичный каталог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MERTECH базовая станция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10 550 ₽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Количество зависит от покрытия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MY BEACON 2,13″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от 690 ₽/шт.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Ориентировочная цена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MY BEACON 2,66″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от 820 ₽/шт.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Ориентировочная цена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MY BEACON базовая станция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от 14 900 ₽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Поставщик указывает до 30 м по прямой видимости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MY BEACON 100 ESL + 1 приёмник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оборудование от 83 900 ₽ + 2 000 ₽/мес.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Интеграция/монтаж могут считаться отдельно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MY BEACON 500 ESL + 5 приёмников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оборудование от 419 500 ₽ + 3 000 ₽/мес.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Публичный пакет Standard</w:t>
            </w:r>
          </w:p>
        </w:tc>
      </w:tr>
    </w:tbl>
    <w:p/>
    <w:p>
      <w:pPr>
        <w:pStyle w:val="Heading1"/>
      </w:pPr>
      <w:r>
        <w:t>4. Почему цена одного ценника — плохой критерий</w:t>
      </w:r>
    </w:p>
    <w:p>
      <w:r>
        <w:t>TCO проекта включает ценники, станции, крепления, интеграцию, монтаж и привязку, лицензию/сервер и эксплуатацию. При перестройке полок добавляются повторные привязки и обслуживание устройств. Поэтому сравнение «бумага стоит копейки, ESL стоит 700 рублей» столь же неточно, как и обратное «бумага бесплатна, значит ESL никогда не окупится».</w:t>
      </w:r>
    </w:p>
    <w:p>
      <w:pPr>
        <w:pStyle w:val="Heading1"/>
      </w:pPr>
      <w:r>
        <w:t>5. Экономика: что реально создаёт эффект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Источник эффекта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Как считать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Доказательность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Труд на переоценку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(часы до − часы после) × полная стоимость часа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Лучший baseline — собственный хронометраж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Бумага / печать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Фактические ежемесячные расходы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Просто измерить, обычно не главный эффект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Ошибки полка/касса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Количество случаев × прямая стоимость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Нужен журнал возвратов/коррекций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Markdown / промо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Доп. валовая прибыль против baseline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Не включать до пилота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Сборка онлайн-заказов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Экономия времени pick-to-light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Только если реально используется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Снижение списаний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Разница по контрольной группе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Нужен собственный тест</w:t>
            </w:r>
          </w:p>
        </w:tc>
      </w:tr>
    </w:tbl>
    <w:p/>
    <w:p>
      <w:r>
        <w:t>MERTECH в анонимном собирательном кейсе сети описывает снижение ручных операций с ценниками с 10–14 до 2–4 часов в неделю на магазин и 65–75% сокращение соответствующих трудозатрат. Это ориентир процесса, но не независимая статистика и не норма для любого магазина.</w:t>
      </w:r>
    </w:p>
    <w:p>
      <w:pPr>
        <w:pStyle w:val="Heading1"/>
      </w:pPr>
      <w:r>
        <w:t>6. Сценарий BASE: 500 ценников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Сценарное значение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Количество ESL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500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Средняя цена ESL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750 ₽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3 базовые станции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12 500 ₽ каждая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Крепления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12% от оборудования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Интеграция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120 000 ₽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Монтаж / привязка / обучение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60 000 ₽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Лицензия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3 000 ₽/мес.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Ручная работа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10 → 3 ч/нед.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Полная стоимость часа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550 ₽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CAPEX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≈ 642 000 ₽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Чистый эффект / мес.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≈ 16 239 ₽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Простая окупаемость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≈ 39,5 месяца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3EFE8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E65C20"/>
                <w:sz w:val="18"/>
              </w:rPr>
              <w:t>ЧТО ОЗНАЧАЕТ 39,5 МЕСЯЦА</w:t>
              <w:br/>
            </w:r>
            <w:r>
              <w:rPr>
                <w:color w:val="0E1E35"/>
                <w:sz w:val="21"/>
              </w:rPr>
              <w:t>Это не «средняя окупаемость рынка», а BASE-сценарий модели. Для цели 36 месяцев нужно подтверждать примерно 7,7 часа экономии труда в неделю или дополнительный доказанный эффект. При 5 часах экономии — около 56 месяцев; при 10 — около 27,5 месяца.</w:t>
            </w:r>
          </w:p>
        </w:tc>
      </w:tr>
    </w:tbl>
    <w:p/>
    <w:p>
      <w:pPr>
        <w:pStyle w:val="Heading1"/>
      </w:pPr>
      <w:r>
        <w:t>7. Малому бизнесу: полный rollout или точечный пилот</w:t>
      </w:r>
    </w:p>
    <w:p>
      <w:r>
        <w:t>Для небольшого магазина главный вопрос не «можем ли мы купить 500 ценников», а «где ручная цена действительно создаёт издержки». Частичный rollout на 50–150 быстро меняющихся позиций может быть разумнее полного перевода всего зала.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Формат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Когда скорее «да»</w:t>
            </w:r>
          </w:p>
        </w:tc>
        <w:tc>
          <w:tcPr>
            <w:tcW w:type="dxa" w:w="3389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Когда скорее «нет»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Магазин у дома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Много промо, частая переоценка, мало персонала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Цены меняются редко, 100–200 стабильных SKU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Аптека / косметика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Много SKU, централизованные цены, чувствительность к ошибкам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Низкая частота изменений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Электроника / DIY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Много характеристик и обновлений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Большие дисплеи делают весь rollout дорогим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Свежие продукты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Markdown в течение дня, короткий срок годности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Нет процесса markdown и данных по списаниям</w:t>
            </w:r>
          </w:p>
        </w:tc>
      </w:tr>
      <w:tr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Один небольшой магазин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Пилот в промо-зоне и доказанный baseline</w:t>
            </w:r>
          </w:p>
        </w:tc>
        <w:tc>
          <w:tcPr>
            <w:tcW w:type="dxa" w:w="3389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Полный rollout «ради современного вида»</w:t>
            </w:r>
          </w:p>
        </w:tc>
      </w:tr>
    </w:tbl>
    <w:p/>
    <w:p>
      <w:pPr>
        <w:pStyle w:val="Heading1"/>
      </w:pPr>
      <w:r>
        <w:t>8. Риски</w:t>
      </w:r>
    </w:p>
    <w:p>
      <w:pPr>
        <w:pStyle w:val="ListBullet"/>
        <w:spacing w:after="60"/>
      </w:pPr>
      <w:r>
        <w:t>Vendor lock-in: ценники, станции, протокол и платформа могут быть связаны с одним поставщиком.</w:t>
      </w:r>
    </w:p>
    <w:p>
      <w:pPr>
        <w:pStyle w:val="ListBullet"/>
        <w:spacing w:after="60"/>
      </w:pPr>
      <w:r>
        <w:t>Ошибочная привязка SKU ↔ ESL быстро распространяет неправильную связь.</w:t>
      </w:r>
    </w:p>
    <w:p>
      <w:pPr>
        <w:pStyle w:val="ListBullet"/>
        <w:spacing w:after="60"/>
      </w:pPr>
      <w:r>
        <w:t>Металл, холодильники и планировка влияют на радиопокрытие.</w:t>
      </w:r>
    </w:p>
    <w:p>
      <w:pPr>
        <w:pStyle w:val="ListBullet"/>
        <w:spacing w:after="60"/>
      </w:pPr>
      <w:r>
        <w:t>Если касса и ESL получают цены из разных мест, технология не решает расхождения.</w:t>
      </w:r>
    </w:p>
    <w:p>
      <w:pPr>
        <w:pStyle w:val="ListBullet"/>
        <w:spacing w:after="60"/>
      </w:pPr>
      <w:r>
        <w:t>Батареи, повреждения и перестановки остаются ручными процессами.</w:t>
      </w:r>
    </w:p>
    <w:p>
      <w:pPr>
        <w:pStyle w:val="ListBullet"/>
        <w:spacing w:after="60"/>
      </w:pPr>
      <w:r>
        <w:t>Маленький экран нельзя перегружать промо, QR и служебными полями.</w:t>
      </w:r>
    </w:p>
    <w:p>
      <w:pPr>
        <w:pStyle w:val="ListBullet"/>
        <w:spacing w:after="60"/>
      </w:pPr>
      <w:r>
        <w:t>Нужно заранее определить работу при недоступности облака/сервиса.</w:t>
      </w:r>
    </w:p>
    <w:p>
      <w:pPr>
        <w:pStyle w:val="Heading1"/>
      </w:pPr>
      <w:r>
        <w:t>9. Цена на полке и кассе</w:t>
      </w:r>
    </w:p>
    <w:p>
      <w:r>
        <w:t>Роспотребнадзор в феврале 2026 года напомнил: если цена на ценнике отличается от цены в чеке и кассовая цена выше, покупатель вправе требовать продажу по цене, указанной на ценнике. Ошибка создаёт корректировку, время сотрудника и риск претензии.</w:t>
      </w:r>
    </w:p>
    <w:p>
      <w:pPr>
        <w:pStyle w:val="Heading1"/>
      </w:pPr>
      <w:r>
        <w:t>10. Gate решения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Gate</w:t>
            </w:r>
          </w:p>
        </w:tc>
        <w:tc>
          <w:tcPr>
            <w:tcW w:type="dxa" w:w="5083"/>
            <w:shd w:fill="0E1E35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Условие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GO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Пилот подтверждает синхронизацию, высокий процент успешных обновлений и окупаемость ≤36 мес.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RECHECK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Окупаемость 36–60 мес.; нужны доказанные дополнительные use cases или более дешёвая конфигурация.</w:t>
            </w:r>
          </w:p>
        </w:tc>
      </w:tr>
      <w:tr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STOP</w:t>
            </w:r>
          </w:p>
        </w:tc>
        <w:tc>
          <w:tcPr>
            <w:tcW w:type="dxa" w:w="5083"/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color w:val="0E1E35"/>
                <w:sz w:val="18"/>
              </w:rPr>
              <w:t>Цена не синхронизируется, интеграция непрозрачна, окупаемость &gt;60 мес. или ручной работы почти нет.</w:t>
            </w:r>
          </w:p>
        </w:tc>
      </w:tr>
    </w:tbl>
    <w:p/>
    <w:p>
      <w:pPr>
        <w:pStyle w:val="Heading1"/>
        <w:spacing w:before="100" w:after="60"/>
      </w:pPr>
      <w:r>
        <w:t>Источники и границы доказательности</w:t>
      </w:r>
    </w:p>
    <w:p>
      <w:pPr>
        <w:spacing w:after="60" w:line="228" w:lineRule="auto"/>
      </w:pPr>
      <w:r>
        <w:rPr>
          <w:sz w:val="17"/>
        </w:rPr>
        <w:t>Публичные цены и кейсы поставщиков используются как ориентиры, а не как независимая гарантия результата. Сценарные цифры в расчётах помечены как допущения.</w:t>
      </w:r>
    </w:p>
    <w:p>
      <w:pPr>
        <w:spacing w:after="20" w:line="221" w:lineRule="auto"/>
      </w:pPr>
      <w:r>
        <w:rPr>
          <w:b/>
          <w:sz w:val="16"/>
        </w:rPr>
        <w:t xml:space="preserve">1. MERTECH — электронные ценники. </w:t>
      </w:r>
      <w:r>
        <w:rPr>
          <w:sz w:val="16"/>
        </w:rPr>
        <w:t xml:space="preserve">Публичные цены и состав ESL-системы на дату проверки. </w:t>
      </w:r>
      <w:r>
        <w:rPr>
          <w:color w:val="1F4E79"/>
          <w:sz w:val="16"/>
        </w:rPr>
        <w:t>https://mertech.ru/ehlektronnye-cenniki/</w:t>
      </w:r>
    </w:p>
    <w:p>
      <w:pPr>
        <w:spacing w:after="20" w:line="221" w:lineRule="auto"/>
      </w:pPr>
      <w:r>
        <w:rPr>
          <w:b/>
          <w:sz w:val="16"/>
        </w:rPr>
        <w:t xml:space="preserve">2. MY BEACON ESL. </w:t>
      </w:r>
      <w:r>
        <w:rPr>
          <w:sz w:val="16"/>
        </w:rPr>
        <w:t xml:space="preserve">Публичные цены, тарифы 100/500 ценников, базовая станция, интеграция и заявленный срок батареи. </w:t>
      </w:r>
      <w:r>
        <w:rPr>
          <w:color w:val="1F4E79"/>
          <w:sz w:val="16"/>
        </w:rPr>
        <w:t>https://my-beacon.ru/esl/html/</w:t>
      </w:r>
    </w:p>
    <w:p>
      <w:pPr>
        <w:spacing w:after="20" w:line="221" w:lineRule="auto"/>
      </w:pPr>
      <w:r>
        <w:rPr>
          <w:b/>
          <w:sz w:val="16"/>
        </w:rPr>
        <w:t xml:space="preserve">3. MERTECH — кейс внедрения. </w:t>
      </w:r>
      <w:r>
        <w:rPr>
          <w:sz w:val="16"/>
        </w:rPr>
        <w:t xml:space="preserve">Поставщик указывает, что кейс анонимный и собирательный; используем только как ориентир процесса. </w:t>
      </w:r>
      <w:r>
        <w:rPr>
          <w:color w:val="1F4E79"/>
          <w:sz w:val="16"/>
        </w:rPr>
        <w:t>https://mertech.ru/blog/elektronnye-cenniki-dlya-magazinov/kak-set-magazinov-uskorila-pereocenku-tovarov-s-pomoschyu-mertech-esl/</w:t>
      </w:r>
    </w:p>
    <w:p>
      <w:pPr>
        <w:spacing w:after="20" w:line="221" w:lineRule="auto"/>
      </w:pPr>
      <w:r>
        <w:rPr>
          <w:b/>
          <w:sz w:val="16"/>
        </w:rPr>
        <w:t xml:space="preserve">4. 1С:Предприятие — интеграция. </w:t>
      </w:r>
      <w:r>
        <w:rPr>
          <w:sz w:val="16"/>
        </w:rPr>
        <w:t xml:space="preserve">Официальное описание HTTP/REST/JSON/OData и интеграционных возможностей платформы. </w:t>
      </w:r>
      <w:r>
        <w:rPr>
          <w:color w:val="1F4E79"/>
          <w:sz w:val="16"/>
        </w:rPr>
        <w:t>https://v8.1c.ru/platforma/integraciya/</w:t>
      </w:r>
    </w:p>
    <w:p>
      <w:pPr>
        <w:spacing w:after="20" w:line="221" w:lineRule="auto"/>
      </w:pPr>
      <w:r>
        <w:rPr>
          <w:b/>
          <w:sz w:val="16"/>
        </w:rPr>
        <w:t xml:space="preserve">5. Роспотребнадзор — цена на ценнике и в чеке. </w:t>
      </w:r>
      <w:r>
        <w:rPr>
          <w:sz w:val="16"/>
        </w:rPr>
        <w:t xml:space="preserve">Официальное разъяснение от 24.02.2026 о праве покупателя требовать цену, указанную на ценнике. </w:t>
      </w:r>
      <w:r>
        <w:rPr>
          <w:color w:val="1F4E79"/>
          <w:sz w:val="16"/>
        </w:rPr>
        <w:t>https://zpp.rospotrebnadzor.ru/news/federal/571579</w:t>
      </w:r>
    </w:p>
    <w:p>
      <w:pPr>
        <w:spacing w:after="20" w:line="221" w:lineRule="auto"/>
      </w:pPr>
      <w:r>
        <w:rPr>
          <w:b/>
          <w:sz w:val="16"/>
        </w:rPr>
        <w:t xml:space="preserve">6. Walmart — digital shelf labels. </w:t>
      </w:r>
      <w:r>
        <w:rPr>
          <w:sz w:val="16"/>
        </w:rPr>
        <w:t xml:space="preserve">Собственный кейс крупного ритейлера; показывает масштабный эффект, но не переносится напрямую на малый магазин. </w:t>
      </w:r>
      <w:r>
        <w:rPr>
          <w:color w:val="1F4E79"/>
          <w:sz w:val="16"/>
        </w:rPr>
        <w:t>https://corporate.walmart.com/news/2026/03/02/how-the-shelf-got-smarter-and-our-jobs-got-easier</w:t>
      </w:r>
    </w:p>
    <w:p>
      <w:pPr>
        <w:spacing w:after="20" w:line="221" w:lineRule="auto"/>
      </w:pPr>
      <w:r>
        <w:rPr>
          <w:b/>
          <w:sz w:val="16"/>
        </w:rPr>
        <w:t xml:space="preserve">7. Management Science — ESL и menu costs. </w:t>
      </w:r>
      <w:r>
        <w:rPr>
          <w:sz w:val="16"/>
        </w:rPr>
        <w:t xml:space="preserve">Peer-reviewed исследование: эффект ESL может выходить за пределы экономии труда, особенно в категориях с коротким сроком жизни товара. </w:t>
      </w:r>
      <w:r>
        <w:rPr>
          <w:color w:val="1F4E79"/>
          <w:sz w:val="16"/>
        </w:rPr>
        <w:t>https://pubsonline.informs.org/doi/abs/10.1287/mnsc.2019.3551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181"/>
        <w:sz w:val="16"/>
      </w:rPr>
      <w:t>Бизнес под микроскопом  •  02.09.2026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E1E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E1E35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E1E35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E65C2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E1E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