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65C20"/>
          <w:sz w:val="18"/>
        </w:rPr>
        <w:t>ТЕХНОЛОГИИ</w:t>
      </w:r>
    </w:p>
    <w:p>
      <w:pPr>
        <w:pStyle w:val="Title"/>
      </w:pPr>
      <w:r>
        <w:t>Playbook внедрения электронных ценников</w:t>
      </w:r>
    </w:p>
    <w:p>
      <w:r>
        <w:rPr>
          <w:color w:val="697181"/>
          <w:sz w:val="24"/>
        </w:rPr>
        <w:t>От архитектуры и договора до cutover и эксплуатации</w:t>
      </w:r>
    </w:p>
    <w:p>
      <w:pPr>
        <w:pBdr>
          <w:bottom w:val="single" w:sz="10" w:space="4" w:color="B3976A"/>
        </w:pBdr>
      </w:pPr>
      <w:r>
        <w:rPr>
          <w:b/>
          <w:sz w:val="20"/>
        </w:rPr>
        <w:t>БИЗНЕС ПОД МИКРОСКОПОМ</w:t>
      </w:r>
      <w:r>
        <w:rPr>
          <w:color w:val="697181"/>
        </w:rPr>
        <w:t xml:space="preserve">  •  фактчек 02.09.2026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E65C20"/>
                <w:sz w:val="18"/>
              </w:rPr>
              <w:t>ЦЕЛЬ</w:t>
              <w:br/>
            </w:r>
            <w:r>
              <w:rPr>
                <w:color w:val="0E1E35"/>
                <w:sz w:val="21"/>
              </w:rPr>
              <w:t>Внедрить ESL как управляемый ИТ-процесс, а не как монтаж экранов. Результат — подтверждённая синхронизация цена → полка → касса и понятная работа исключений.</w:t>
            </w:r>
          </w:p>
        </w:tc>
      </w:tr>
    </w:tbl>
    <w:p/>
    <w:p>
      <w:pPr>
        <w:pStyle w:val="Heading1"/>
      </w:pPr>
      <w:r>
        <w:t>1. Роли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Ответственность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Владелец процесса цен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Правила цены, акции, source of truth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ИТ / интегратор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API/обмен, доступы, логирование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Управляющий магазином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Персонал, привязки, исключения, приёмка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Поставщик ESL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Оборудование, покрытие, платформа, SLA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Финансы / владелец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TCO, ROI, gate масштабирования</w:t>
            </w:r>
          </w:p>
        </w:tc>
      </w:tr>
    </w:tbl>
    <w:p/>
    <w:p>
      <w:pPr>
        <w:pStyle w:val="Heading1"/>
      </w:pPr>
      <w:r>
        <w:t>2. Архитектурная схема</w:t>
      </w:r>
    </w:p>
    <w:p>
      <w:r>
        <w:t>Рекомендуемый контур: 1С/ERP → интеграционный слой/API → ESL-платформа → базовые станции → ESL. Параллельно из того же источника цена должна попадать в POS/кассу. Подтверждение от ESL возвращается в мониторинг.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E65C20"/>
                <w:sz w:val="18"/>
              </w:rPr>
              <w:t>НЕ ДОПУСКАЙТЕ</w:t>
              <w:br/>
            </w:r>
            <w:r>
              <w:rPr>
                <w:color w:val="0E1E35"/>
                <w:sz w:val="21"/>
              </w:rPr>
              <w:t>Ручной ввод цены в ESL-платформу как постоянный процесс; отдельный Excel «для кассы» и отдельный «для ценников»; обновление без статуса устройства.</w:t>
            </w:r>
          </w:p>
        </w:tc>
      </w:tr>
    </w:tbl>
    <w:p/>
    <w:p>
      <w:pPr>
        <w:pStyle w:val="Heading1"/>
      </w:pPr>
      <w:r>
        <w:t>3. Этапы внедрения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Работа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0. Baseline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2–4 недели измерений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Часы, изменения цен, ошибки, печать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1. Обследование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План зала, полки, холод, сеть, 1С/POS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Схема покрытия и BOM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2. Дизайн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Источник цены, API, шаблоны, права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Architecture note + mapping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3. Пилот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100–500 ESL, одна зона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30 дней данных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4. Acceptance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KPI, ошибки, rollback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GO / RECHECK / STOP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5. Rollout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Партиями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Контроль каждой волны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6. Эксплуатация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SLA, запас, батареи, перестановки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Регламент и dashboard</w:t>
            </w:r>
          </w:p>
        </w:tc>
      </w:tr>
    </w:tbl>
    <w:p/>
    <w:p>
      <w:pPr>
        <w:pStyle w:val="Heading1"/>
      </w:pPr>
      <w:r>
        <w:t>4. Data mapping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203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203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Источник</w:t>
            </w:r>
          </w:p>
        </w:tc>
        <w:tc>
          <w:tcPr>
            <w:tcW w:type="dxa" w:w="203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На ESL</w:t>
            </w:r>
          </w:p>
        </w:tc>
        <w:tc>
          <w:tcPr>
            <w:tcW w:type="dxa" w:w="203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На кассе</w:t>
            </w:r>
          </w:p>
        </w:tc>
        <w:tc>
          <w:tcPr>
            <w:tcW w:type="dxa" w:w="203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Контроль</w:t>
            </w:r>
          </w:p>
        </w:tc>
      </w:tr>
      <w:tr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SKU / GTIN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Номенклатура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служебно/штрихкод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товар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однозначная связь</w:t>
            </w:r>
          </w:p>
        </w:tc>
      </w:tr>
      <w:tr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Цена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Регистр цен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крупная цена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цена продажи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одинаковая версия</w:t>
            </w:r>
          </w:p>
        </w:tc>
      </w:tr>
      <w:tr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Старая цена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Промо-правило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 шаблону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не всегда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срок действия</w:t>
            </w:r>
          </w:p>
        </w:tc>
      </w:tr>
      <w:tr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Ед. измерения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Номенклатура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 применимости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чек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формат</w:t>
            </w:r>
          </w:p>
        </w:tc>
      </w:tr>
      <w:tr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Промо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Акция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цвет/бейдж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условие продажи</w:t>
            </w:r>
          </w:p>
        </w:tc>
        <w:tc>
          <w:tcPr>
            <w:tcW w:type="dxa" w:w="203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даты</w:t>
            </w:r>
          </w:p>
        </w:tc>
      </w:tr>
    </w:tbl>
    <w:p/>
    <w:p>
      <w:pPr>
        <w:pStyle w:val="Heading1"/>
      </w:pPr>
      <w:r>
        <w:t>5. Привязка SKU ↔ ESL</w:t>
      </w:r>
    </w:p>
    <w:p>
      <w:pPr>
        <w:pStyle w:val="ListNumber"/>
        <w:spacing w:after="80"/>
      </w:pPr>
      <w:r>
        <w:t>Сканировать товар или полочный штрихкод.</w:t>
      </w:r>
    </w:p>
    <w:p>
      <w:pPr>
        <w:pStyle w:val="ListNumber"/>
        <w:spacing w:after="80"/>
      </w:pPr>
      <w:r>
        <w:t>Сканировать идентификатор ESL.</w:t>
      </w:r>
    </w:p>
    <w:p>
      <w:pPr>
        <w:pStyle w:val="ListNumber"/>
        <w:spacing w:after="80"/>
      </w:pPr>
      <w:r>
        <w:t>Показать оператору пару SKU ↔ ESL и текущую цену.</w:t>
      </w:r>
    </w:p>
    <w:p>
      <w:pPr>
        <w:pStyle w:val="ListNumber"/>
        <w:spacing w:after="80"/>
      </w:pPr>
      <w:r>
        <w:t>Отправить тестовый шаблон.</w:t>
      </w:r>
    </w:p>
    <w:p>
      <w:pPr>
        <w:pStyle w:val="ListNumber"/>
        <w:spacing w:after="80"/>
      </w:pPr>
      <w:r>
        <w:t>Получить подтверждение отображения.</w:t>
      </w:r>
    </w:p>
    <w:p>
      <w:pPr>
        <w:pStyle w:val="ListNumber"/>
        <w:spacing w:after="80"/>
      </w:pPr>
      <w:r>
        <w:t>Сохранить пользователя, время и старую/новую привязку.</w:t>
      </w:r>
    </w:p>
    <w:p>
      <w:pPr>
        <w:pStyle w:val="ListNumber"/>
        <w:spacing w:after="80"/>
      </w:pPr>
      <w:r>
        <w:t>При переносе товара разорвать старую связь и повторить процедуру.</w:t>
      </w:r>
    </w:p>
    <w:p>
      <w:pPr>
        <w:pStyle w:val="Heading1"/>
      </w:pPr>
      <w:r>
        <w:t>6. Cutover</w:t>
      </w:r>
    </w:p>
    <w:p>
      <w:pPr>
        <w:pStyle w:val="ListBullet"/>
        <w:spacing w:after="60"/>
      </w:pPr>
      <w:r>
        <w:t>Не менять все цены в момент монтажа.</w:t>
      </w:r>
    </w:p>
    <w:p>
      <w:pPr>
        <w:pStyle w:val="ListBullet"/>
        <w:spacing w:after="60"/>
      </w:pPr>
      <w:r>
        <w:t>Провести контрольный обход касса ↔ полка.</w:t>
      </w:r>
    </w:p>
    <w:p>
      <w:pPr>
        <w:pStyle w:val="ListBullet"/>
        <w:spacing w:after="60"/>
      </w:pPr>
      <w:r>
        <w:t>Сохранить временный fallback, но не вести два master-а.</w:t>
      </w:r>
    </w:p>
    <w:p>
      <w:pPr>
        <w:pStyle w:val="ListBullet"/>
        <w:spacing w:after="60"/>
      </w:pPr>
      <w:r>
        <w:t>Задать rollback при недоступности платформы/станции/шаблона.</w:t>
      </w:r>
    </w:p>
    <w:p>
      <w:pPr>
        <w:pStyle w:val="ListBullet"/>
        <w:spacing w:after="60"/>
      </w:pPr>
      <w:r>
        <w:t>После 7–14 дней стабильности закрыть временные процессы.</w:t>
      </w:r>
    </w:p>
    <w:p>
      <w:pPr>
        <w:pStyle w:val="Heading1"/>
      </w:pPr>
      <w:r>
        <w:t>7. Эксплуатационный SOP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Событие</w:t>
            </w:r>
          </w:p>
        </w:tc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ESL offline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Автоповтор → задача → проверка зоны → замена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Низкий заряд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Плановая замена батареи/устройства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Неверная цена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Source of truth → POS → ESL → лог доставки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Перестановка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Обязательная перепривязка SKU ↔ ESL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Новый шаблон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Тест 3–5 устройств → массовый rollout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Обновление 1С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Регрессионный тест интеграции</w:t>
            </w:r>
          </w:p>
        </w:tc>
      </w:tr>
    </w:tbl>
    <w:p/>
    <w:p>
      <w:pPr>
        <w:pStyle w:val="Heading1"/>
      </w:pPr>
      <w:r>
        <w:t>8. SLA поставщика</w:t>
      </w:r>
    </w:p>
    <w:p>
      <w:pPr>
        <w:pStyle w:val="ListBullet"/>
        <w:spacing w:after="60"/>
      </w:pPr>
      <w:r>
        <w:t>Доступность платформы и окна обслуживания.</w:t>
      </w:r>
    </w:p>
    <w:p>
      <w:pPr>
        <w:pStyle w:val="ListBullet"/>
        <w:spacing w:after="60"/>
      </w:pPr>
      <w:r>
        <w:t>Время реакции на инциденты.</w:t>
      </w:r>
    </w:p>
    <w:p>
      <w:pPr>
        <w:pStyle w:val="ListBullet"/>
        <w:spacing w:after="60"/>
      </w:pPr>
      <w:r>
        <w:t>Срок поставки замен и запасной фонд.</w:t>
      </w:r>
    </w:p>
    <w:p>
      <w:pPr>
        <w:pStyle w:val="ListBullet"/>
        <w:spacing w:after="60"/>
      </w:pPr>
      <w:r>
        <w:t>Поддерживаемые версии интеграции.</w:t>
      </w:r>
    </w:p>
    <w:p>
      <w:pPr>
        <w:pStyle w:val="ListBullet"/>
        <w:spacing w:after="60"/>
      </w:pPr>
      <w:r>
        <w:t>Экспорт логов и данных.</w:t>
      </w:r>
    </w:p>
    <w:p>
      <w:pPr>
        <w:pStyle w:val="ListBullet"/>
        <w:spacing w:after="60"/>
      </w:pPr>
      <w:r>
        <w:t>Порядок изменения тарифов и расторжения.</w:t>
      </w:r>
    </w:p>
    <w:p>
      <w:pPr>
        <w:pStyle w:val="Heading1"/>
        <w:spacing w:before="100" w:after="60"/>
      </w:pPr>
      <w:r>
        <w:t>Источники и границы доказательности</w:t>
      </w:r>
    </w:p>
    <w:p>
      <w:pPr>
        <w:spacing w:after="60" w:line="228" w:lineRule="auto"/>
      </w:pPr>
      <w:r>
        <w:rPr>
          <w:sz w:val="17"/>
        </w:rPr>
        <w:t>Публичные цены и кейсы поставщиков используются как ориентиры, а не как независимая гарантия результата. Сценарные цифры в расчётах помечены как допущения.</w:t>
      </w:r>
    </w:p>
    <w:p>
      <w:pPr>
        <w:spacing w:after="20" w:line="221" w:lineRule="auto"/>
      </w:pPr>
      <w:r>
        <w:rPr>
          <w:b/>
          <w:sz w:val="16"/>
        </w:rPr>
        <w:t xml:space="preserve">1. MERTECH — электронные ценники. </w:t>
      </w:r>
      <w:r>
        <w:rPr>
          <w:sz w:val="16"/>
        </w:rPr>
        <w:t xml:space="preserve">Публичные цены и состав ESL-системы на дату проверки. </w:t>
      </w:r>
      <w:r>
        <w:rPr>
          <w:color w:val="1F4E79"/>
          <w:sz w:val="16"/>
        </w:rPr>
        <w:t>https://mertech.ru/ehlektronnye-cenniki/</w:t>
      </w:r>
    </w:p>
    <w:p>
      <w:pPr>
        <w:spacing w:after="20" w:line="221" w:lineRule="auto"/>
      </w:pPr>
      <w:r>
        <w:rPr>
          <w:b/>
          <w:sz w:val="16"/>
        </w:rPr>
        <w:t xml:space="preserve">2. MY BEACON ESL. </w:t>
      </w:r>
      <w:r>
        <w:rPr>
          <w:sz w:val="16"/>
        </w:rPr>
        <w:t xml:space="preserve">Публичные цены, тарифы 100/500 ценников, базовая станция, интеграция и заявленный срок батареи. </w:t>
      </w:r>
      <w:r>
        <w:rPr>
          <w:color w:val="1F4E79"/>
          <w:sz w:val="16"/>
        </w:rPr>
        <w:t>https://my-beacon.ru/esl/html/</w:t>
      </w:r>
    </w:p>
    <w:p>
      <w:pPr>
        <w:spacing w:after="20" w:line="221" w:lineRule="auto"/>
      </w:pPr>
      <w:r>
        <w:rPr>
          <w:b/>
          <w:sz w:val="16"/>
        </w:rPr>
        <w:t xml:space="preserve">3. MERTECH — кейс внедрения. </w:t>
      </w:r>
      <w:r>
        <w:rPr>
          <w:sz w:val="16"/>
        </w:rPr>
        <w:t xml:space="preserve">Поставщик указывает, что кейс анонимный и собирательный; используем только как ориентир процесса. </w:t>
      </w:r>
      <w:r>
        <w:rPr>
          <w:color w:val="1F4E79"/>
          <w:sz w:val="16"/>
        </w:rPr>
        <w:t>https://mertech.ru/blog/elektronnye-cenniki-dlya-magazinov/kak-set-magazinov-uskorila-pereocenku-tovarov-s-pomoschyu-mertech-esl/</w:t>
      </w:r>
    </w:p>
    <w:p>
      <w:pPr>
        <w:spacing w:after="20" w:line="221" w:lineRule="auto"/>
      </w:pPr>
      <w:r>
        <w:rPr>
          <w:b/>
          <w:sz w:val="16"/>
        </w:rPr>
        <w:t xml:space="preserve">4. 1С:Предприятие — интеграция. </w:t>
      </w:r>
      <w:r>
        <w:rPr>
          <w:sz w:val="16"/>
        </w:rPr>
        <w:t xml:space="preserve">Официальное описание HTTP/REST/JSON/OData и интеграционных возможностей платформы. </w:t>
      </w:r>
      <w:r>
        <w:rPr>
          <w:color w:val="1F4E79"/>
          <w:sz w:val="16"/>
        </w:rPr>
        <w:t>https://v8.1c.ru/platforma/integraciya/</w:t>
      </w:r>
    </w:p>
    <w:p>
      <w:pPr>
        <w:spacing w:after="20" w:line="221" w:lineRule="auto"/>
      </w:pPr>
      <w:r>
        <w:rPr>
          <w:b/>
          <w:sz w:val="16"/>
        </w:rPr>
        <w:t xml:space="preserve">5. Роспотребнадзор — цена на ценнике и в чеке. </w:t>
      </w:r>
      <w:r>
        <w:rPr>
          <w:sz w:val="16"/>
        </w:rPr>
        <w:t xml:space="preserve">Официальное разъяснение от 24.02.2026 о праве покупателя требовать цену, указанную на ценнике. </w:t>
      </w:r>
      <w:r>
        <w:rPr>
          <w:color w:val="1F4E79"/>
          <w:sz w:val="16"/>
        </w:rPr>
        <w:t>https://zpp.rospotrebnadzor.ru/news/federal/571579</w:t>
      </w:r>
    </w:p>
    <w:p>
      <w:pPr>
        <w:spacing w:after="20" w:line="221" w:lineRule="auto"/>
      </w:pPr>
      <w:r>
        <w:rPr>
          <w:b/>
          <w:sz w:val="16"/>
        </w:rPr>
        <w:t xml:space="preserve">6. Walmart — digital shelf labels. </w:t>
      </w:r>
      <w:r>
        <w:rPr>
          <w:sz w:val="16"/>
        </w:rPr>
        <w:t xml:space="preserve">Собственный кейс крупного ритейлера; показывает масштабный эффект, но не переносится напрямую на малый магазин. </w:t>
      </w:r>
      <w:r>
        <w:rPr>
          <w:color w:val="1F4E79"/>
          <w:sz w:val="16"/>
        </w:rPr>
        <w:t>https://corporate.walmart.com/news/2026/03/02/how-the-shelf-got-smarter-and-our-jobs-got-easier</w:t>
      </w:r>
    </w:p>
    <w:p>
      <w:pPr>
        <w:spacing w:after="20" w:line="221" w:lineRule="auto"/>
      </w:pPr>
      <w:r>
        <w:rPr>
          <w:b/>
          <w:sz w:val="16"/>
        </w:rPr>
        <w:t xml:space="preserve">7. Management Science — ESL и menu costs. </w:t>
      </w:r>
      <w:r>
        <w:rPr>
          <w:sz w:val="16"/>
        </w:rPr>
        <w:t xml:space="preserve">Peer-reviewed исследование: эффект ESL может выходить за пределы экономии труда, особенно в категориях с коротким сроком жизни товара. </w:t>
      </w:r>
      <w:r>
        <w:rPr>
          <w:color w:val="1F4E79"/>
          <w:sz w:val="16"/>
        </w:rPr>
        <w:t>https://pubsonline.informs.org/doi/abs/10.1287/mnsc.2019.3551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181"/>
        <w:sz w:val="16"/>
      </w:rPr>
      <w:t>Бизнес под микроскопом  •  02.09.2026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E1E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E1E35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E1E35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E65C2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E1E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