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1E7F5C"/>
          <w:sz w:val="17"/>
        </w:rPr>
        <w:t>РАЗБОР КОМПАНИИ / ПРАКТИЧЕСКИЙ TOOLKIT</w:t>
      </w:r>
    </w:p>
    <w:p>
      <w:pPr>
        <w:pStyle w:val="Title"/>
      </w:pPr>
      <w:r>
        <w:t>Freddieshow — практический чек-лист и операционная карта</w:t>
      </w:r>
    </w:p>
    <w:p>
      <w:pPr>
        <w:pStyle w:val="Subtitle"/>
      </w:pPr>
      <w:r>
        <w:t>Рабочий инструмент для решения «входить / пересчитать / отказаться», подготовки первой игры и контроля первых 90 дней.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КАК ИСПОЛЬЗОВАТЬ</w:t>
            </w:r>
          </w:p>
          <w:p>
            <w:pPr>
              <w:spacing w:after="0"/>
            </w:pPr>
            <w:r>
              <w:t>Сначала заполните разделы 1–3 до оплаты. Затем используйте операционную карту T−28…T+3 и чек-лист игрового дня. После каждой игры обновляйте фактическую экономику и принимайте решение по контрольным точкам первых 90 дней.</w:t>
            </w:r>
          </w:p>
        </w:tc>
      </w:tr>
    </w:tbl>
    <w:p>
      <w:pPr>
        <w:pStyle w:val="Heading1"/>
      </w:pPr>
      <w:r>
        <w:t>1. Решение до оплаты: обязательные контрольные условия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  <w:cantSplit/>
        </w:trPr>
        <w:tc>
          <w:tcPr>
            <w:tcW w:type="dxa" w:w="1587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Блок</w:t>
            </w:r>
          </w:p>
        </w:tc>
        <w:tc>
          <w:tcPr>
            <w:tcW w:type="dxa" w:w="4082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Что должно быть подтверждено</w:t>
            </w:r>
          </w:p>
        </w:tc>
        <w:tc>
          <w:tcPr>
            <w:tcW w:type="dxa" w:w="113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Статус</w:t>
            </w:r>
          </w:p>
        </w:tc>
        <w:tc>
          <w:tcPr>
            <w:tcW w:type="dxa" w:w="2721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Решение / доказательство</w:t>
            </w:r>
          </w:p>
        </w:tc>
      </w:tr>
      <w:tr>
        <w:trPr>
          <w:cantSplit/>
        </w:trPr>
        <w:tc>
          <w:tcPr>
            <w:tcW w:type="dxa" w:w="15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Город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Конкуренты, цены, реальная посещаемость похожих форматов, объём доступной аудитории.</w:t>
            </w:r>
          </w:p>
        </w:tc>
        <w:tc>
          <w:tcPr>
            <w:tcW w:type="dxa" w:w="113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да  ☐ нет</w:t>
            </w:r>
          </w:p>
        </w:tc>
        <w:tc>
          <w:tcPr>
            <w:tcW w:type="dxa" w:w="272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15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Площадка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Конкретный зал, вместимость, регулярный слот, техника, депозит/аренда, письменные условия.</w:t>
            </w:r>
          </w:p>
        </w:tc>
        <w:tc>
          <w:tcPr>
            <w:tcW w:type="dxa" w:w="113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да  ☐ нет</w:t>
            </w:r>
          </w:p>
        </w:tc>
        <w:tc>
          <w:tcPr>
            <w:tcW w:type="dxa" w:w="272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15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Команда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Ведущий, звук/диджей, фотограф, регистрация, помощники, маркетинг, резерв ролей.</w:t>
            </w:r>
          </w:p>
        </w:tc>
        <w:tc>
          <w:tcPr>
            <w:tcW w:type="dxa" w:w="113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да  ☐ нет</w:t>
            </w:r>
          </w:p>
        </w:tc>
        <w:tc>
          <w:tcPr>
            <w:tcW w:type="dxa" w:w="272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15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Экономика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Сценарии минимум для 50 / 75 / 100 / 150 участников; резерв на 2–3 слабых цикла.</w:t>
            </w:r>
          </w:p>
        </w:tc>
        <w:tc>
          <w:tcPr>
            <w:tcW w:type="dxa" w:w="113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да  ☐ нет</w:t>
            </w:r>
          </w:p>
        </w:tc>
        <w:tc>
          <w:tcPr>
            <w:tcW w:type="dxa" w:w="272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15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Договор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Срок, территория, роялти, прекращение, права на бренд, контент и ноу-хау.</w:t>
            </w:r>
          </w:p>
        </w:tc>
        <w:tc>
          <w:tcPr>
            <w:tcW w:type="dxa" w:w="113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да  ☐ нет</w:t>
            </w:r>
          </w:p>
        </w:tc>
        <w:tc>
          <w:tcPr>
            <w:tcW w:type="dxa" w:w="272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15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Музыка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Понятно и письменно закреплено, кто отвечает за необходимые права/лицензии.</w:t>
            </w:r>
          </w:p>
        </w:tc>
        <w:tc>
          <w:tcPr>
            <w:tcW w:type="dxa" w:w="113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да  ☐ нет</w:t>
            </w:r>
          </w:p>
        </w:tc>
        <w:tc>
          <w:tcPr>
            <w:tcW w:type="dxa" w:w="272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____________________________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BECE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A23A32"/>
                <w:sz w:val="17"/>
              </w:rPr>
              <w:t>СТОП-ПРАВИЛО</w:t>
            </w:r>
          </w:p>
          <w:p>
            <w:pPr>
              <w:spacing w:after="0"/>
            </w:pPr>
            <w:r>
              <w:t>Не оплачивать вход, если площадка «найдётся потом», экономика работает только при полной посадке, права на музыку и бренд неясны или денежный резерв исчерпывается первой игрой.</w:t>
            </w:r>
          </w:p>
        </w:tc>
      </w:tr>
    </w:tbl>
    <w:p>
      <w:pPr>
        <w:pStyle w:val="Heading1"/>
        <w:pageBreakBefore/>
      </w:pPr>
      <w:r>
        <w:t>2. Оценочная карта площадки — 100 баллов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231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Критерий</w:t>
            </w:r>
          </w:p>
        </w:tc>
        <w:tc>
          <w:tcPr>
            <w:tcW w:type="dxa" w:w="850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Вес</w:t>
            </w:r>
          </w:p>
        </w:tc>
        <w:tc>
          <w:tcPr>
            <w:tcW w:type="dxa" w:w="130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Оценка 1–5</w:t>
            </w:r>
          </w:p>
        </w:tc>
        <w:tc>
          <w:tcPr>
            <w:tcW w:type="dxa" w:w="850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Балл</w:t>
            </w:r>
          </w:p>
        </w:tc>
        <w:tc>
          <w:tcPr>
            <w:tcW w:type="dxa" w:w="3288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rPr>
          <w:cantSplit/>
        </w:trPr>
        <w:tc>
          <w:tcPr>
            <w:tcW w:type="dxa" w:w="323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Реальная вместимость и посадка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20%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23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Звук, экран, микрофоны, электрика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20%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23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Регулярный будний слот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20%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23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Депозит / аренда / минимальный чек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20%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23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Локация и транспорт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10%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23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Готовность площадки продвигать событие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10%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________________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ИНТЕРПРЕТАЦИЯ</w:t>
            </w:r>
          </w:p>
          <w:p>
            <w:pPr>
              <w:spacing w:after="0"/>
            </w:pPr>
            <w:r>
              <w:t>70+ баллов — площадку можно тестировать; 55–69 — только с планом исправлений; ниже 55 — искать альтернативу. Это редакционная рабочая шкала, а не стандарт Freddieshow.</w:t>
            </w:r>
          </w:p>
        </w:tc>
      </w:tr>
    </w:tbl>
    <w:p>
      <w:pPr>
        <w:pStyle w:val="Heading1"/>
      </w:pPr>
      <w:r>
        <w:t>3. Матрица комплексной проверки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  <w:cantSplit/>
        </w:trPr>
        <w:tc>
          <w:tcPr>
            <w:tcW w:type="dxa" w:w="181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4025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Что запросить или сделать</w:t>
            </w:r>
          </w:p>
        </w:tc>
        <w:tc>
          <w:tcPr>
            <w:tcW w:type="dxa" w:w="850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Готово?</w:t>
            </w:r>
          </w:p>
        </w:tc>
        <w:tc>
          <w:tcPr>
            <w:tcW w:type="dxa" w:w="2948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Красный флаг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Франшизный договор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Получить актуальный экземпляр до оплаты; проверить срок, территорию, продление, прекращение, роялти и судьбу локальных активов.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Критические условия объясняются только устно.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Товарный знак / бренд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Проверить объём предоставляемых прав и порядок оформления, если договор включает зарегистрированный знак.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Нет ясного описания права использования бренда.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Музыкальный контент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Зафиксировать ответственного за необходимые права/лицензии: площадка или организатор.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Ответственность «по умолчанию» перекладывается друг на друга.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Обязательные платежи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Отделить паушальный взнос и роялти от собственных операционных расходов.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Непонятно, за что и когда возникают обязательные выплаты.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География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Проверить текущую территорию, соседние города и ограничения договора.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Территория не определена или конфликтует с действующим партнёром.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История сети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Смотреть не только число текущих городов, но и причины остановок / смены операторов.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История не обсуждается или любой закрытый город объясняется одной причиной.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Комьюнити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Проверить реальные локальные активности и примеры повторной аудитории.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</w:t>
            </w:r>
          </w:p>
        </w:tc>
        <w:tc>
          <w:tcPr>
            <w:tcW w:type="dxa" w:w="294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Есть только подписчики, но нет признаков регулярных игр.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КОНТЕКСТ СЕТИ</w:t>
            </w:r>
          </w:p>
          <w:p>
            <w:pPr>
              <w:spacing w:after="0"/>
            </w:pPr>
            <w:r>
              <w:t>За историю проекта было чуть больше 30 запусков; на начало сентября 2026 года — 19 действующих городов и Челябинск в запуске. Ранние запуски были неоднородны: часть проходила без паушального взноса и по личным договорённостям, поэтому эти цифры нельзя использовать как простой «процент выживаемости».</w:t>
            </w:r>
          </w:p>
        </w:tc>
      </w:tr>
    </w:tbl>
    <w:p>
      <w:pPr>
        <w:pStyle w:val="Heading1"/>
      </w:pPr>
      <w:r>
        <w:t>4. Команда первой игры: роли и резерв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  <w:cantSplit/>
        </w:trPr>
        <w:tc>
          <w:tcPr>
            <w:tcW w:type="dxa" w:w="1928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1417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Основной</w:t>
            </w:r>
          </w:p>
        </w:tc>
        <w:tc>
          <w:tcPr>
            <w:tcW w:type="dxa" w:w="1417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Резерв</w:t>
            </w:r>
          </w:p>
        </w:tc>
        <w:tc>
          <w:tcPr>
            <w:tcW w:type="dxa" w:w="4819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Что должно быть готово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Организатор / продюсер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Бюджет, площадка, тайминг, коммуникации, финальное решение.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Ведущий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Сценарий, репетиция, тон игры, работа с паузами и конфликтами.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Звук / диджей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Плейбэк, микрофоны, резервные кабели/носители, проверка уровней.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Регистрация / координатор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Список команд, оплата, рассадка, входной поток.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Фото / контент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План кадров, согласованные точки съёмки, сроки публикации.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Маркетинг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________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Креативы, рекламный бюджет, партнёрства, база команд, аналитика.</w:t>
            </w:r>
          </w:p>
        </w:tc>
      </w:tr>
    </w:tbl>
    <w:p>
      <w:pPr>
        <w:pStyle w:val="Heading1"/>
        <w:pageBreakBefore/>
      </w:pPr>
      <w:r>
        <w:t>5. Операционная карта первой игры: T−28…T+3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  <w:cantSplit/>
        </w:trPr>
        <w:tc>
          <w:tcPr>
            <w:tcW w:type="dxa" w:w="130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Период</w:t>
            </w:r>
          </w:p>
        </w:tc>
        <w:tc>
          <w:tcPr>
            <w:tcW w:type="dxa" w:w="4082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Что сделать</w:t>
            </w:r>
          </w:p>
        </w:tc>
        <w:tc>
          <w:tcPr>
            <w:tcW w:type="dxa" w:w="3118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Контрольный результат</w:t>
            </w:r>
          </w:p>
        </w:tc>
        <w:tc>
          <w:tcPr>
            <w:tcW w:type="dxa" w:w="1417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Ответственный / дата</w:t>
            </w:r>
          </w:p>
        </w:tc>
      </w:tr>
      <w:tr>
        <w:trPr>
          <w:cantSplit/>
        </w:trPr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T−28…T−21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Закрепить площадку и дату; подписать условия; определить вместимость; собрать команду; открыть рабочий бюджет.</w:t>
            </w:r>
          </w:p>
        </w:tc>
        <w:tc>
          <w:tcPr>
            <w:tcW w:type="dxa" w:w="311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Есть подтверждённый слот, понятная экономика и роли.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</w:t>
            </w:r>
          </w:p>
        </w:tc>
      </w:tr>
      <w:tr>
        <w:trPr>
          <w:cantSplit/>
        </w:trPr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T−21…T−14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Подготовить афишу и регистрацию; запустить VK и партнёрства; собрать первую базу команд; согласовать технику.</w:t>
            </w:r>
          </w:p>
        </w:tc>
        <w:tc>
          <w:tcPr>
            <w:tcW w:type="dxa" w:w="311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Первые регистрации идут; нет критических технических вопросов.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</w:t>
            </w:r>
          </w:p>
        </w:tc>
      </w:tr>
      <w:tr>
        <w:trPr>
          <w:cantSplit/>
        </w:trPr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T−14…T−7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Усилить продвижение; подтвердить команды; подготовить призы и материалы; провести репетицию ведущего.</w:t>
            </w:r>
          </w:p>
        </w:tc>
        <w:tc>
          <w:tcPr>
            <w:tcW w:type="dxa" w:w="311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Есть понятная траектория к безубыточности.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</w:t>
            </w:r>
          </w:p>
        </w:tc>
      </w:tr>
      <w:tr>
        <w:trPr>
          <w:cantSplit/>
        </w:trPr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T−7…T−2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Дожать подтверждения; проверить звук/экран; собрать рассадку; подготовить резерв техники и ролей.</w:t>
            </w:r>
          </w:p>
        </w:tc>
        <w:tc>
          <w:tcPr>
            <w:tcW w:type="dxa" w:w="311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Нет открытых критических задач.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</w:t>
            </w:r>
          </w:p>
        </w:tc>
      </w:tr>
      <w:tr>
        <w:trPr>
          <w:cantSplit/>
        </w:trPr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T−1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Полный технический прогон; финальные списки; печать; тайминг; контакт площадки; аварийный набор.</w:t>
            </w:r>
          </w:p>
        </w:tc>
        <w:tc>
          <w:tcPr>
            <w:tcW w:type="dxa" w:w="311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Команда может провести игру без ручного «тушения пожаров».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</w:t>
            </w:r>
          </w:p>
        </w:tc>
      </w:tr>
      <w:tr>
        <w:trPr>
          <w:cantSplit/>
        </w:trPr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T0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Регистрация; игра; фото/видео; фиксация сбоев; объявление следующей даты; сбор корпоративных контактов.</w:t>
            </w:r>
          </w:p>
        </w:tc>
        <w:tc>
          <w:tcPr>
            <w:tcW w:type="dxa" w:w="311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Событие проведено, следующая точка календаря названа.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</w:t>
            </w:r>
          </w:p>
        </w:tc>
      </w:tr>
      <w:tr>
        <w:trPr>
          <w:cantSplit/>
        </w:trPr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T+1…T+3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Фотоотчёт; обратная связь; фактическую экономику игры; повторная регистрация; разбор ошибок; обработка корпоративных контактов.</w:t>
            </w:r>
          </w:p>
        </w:tc>
        <w:tc>
          <w:tcPr>
            <w:tcW w:type="dxa" w:w="311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Понятно, что менять ко второй игре и кто готов вернуться.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</w:t>
            </w:r>
          </w:p>
        </w:tc>
      </w:tr>
    </w:tbl>
    <w:p>
      <w:pPr>
        <w:pStyle w:val="Heading1"/>
      </w:pPr>
      <w:r>
        <w:t>6. Чек-лист игрового дня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  <w:cantSplit/>
        </w:trPr>
        <w:tc>
          <w:tcPr>
            <w:tcW w:type="dxa" w:w="1701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Время / этап</w:t>
            </w:r>
          </w:p>
        </w:tc>
        <w:tc>
          <w:tcPr>
            <w:tcW w:type="dxa" w:w="6973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Контроль</w:t>
            </w:r>
          </w:p>
        </w:tc>
        <w:tc>
          <w:tcPr>
            <w:tcW w:type="dxa" w:w="1191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Статус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До открытия дверей</w:t>
            </w:r>
          </w:p>
        </w:tc>
        <w:tc>
          <w:tcPr>
            <w:tcW w:type="dxa" w:w="697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экран и звук  ☐ 2 микрофона/резерв  ☐ плейбэк  ☐ интернет/офлайн-копия  ☐ призы  ☐ регистрация  ☐ рассадка</w:t>
            </w:r>
          </w:p>
        </w:tc>
        <w:tc>
          <w:tcPr>
            <w:tcW w:type="dxa" w:w="119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За 30 минут</w:t>
            </w:r>
          </w:p>
        </w:tc>
        <w:tc>
          <w:tcPr>
            <w:tcW w:type="dxa" w:w="697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ведущий и диджей на месте  ☐ площадка предупреждена  ☐ координатор знает поток  ☐ фото-точки определены</w:t>
            </w:r>
          </w:p>
        </w:tc>
        <w:tc>
          <w:tcPr>
            <w:tcW w:type="dxa" w:w="119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Старт</w:t>
            </w:r>
          </w:p>
        </w:tc>
        <w:tc>
          <w:tcPr>
            <w:tcW w:type="dxa" w:w="697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начало без существенной задержки  ☐ правила понятны  ☐ атмосфера задана в первые минуты</w:t>
            </w:r>
          </w:p>
        </w:tc>
        <w:tc>
          <w:tcPr>
            <w:tcW w:type="dxa" w:w="119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Во время игры</w:t>
            </w:r>
          </w:p>
        </w:tc>
        <w:tc>
          <w:tcPr>
            <w:tcW w:type="dxa" w:w="697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фиксируются технические сбои  ☐ спорные вопросы решаются единообразно  ☐ команда не теряет темп</w:t>
            </w:r>
          </w:p>
        </w:tc>
        <w:tc>
          <w:tcPr>
            <w:tcW w:type="dxa" w:w="119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Финал</w:t>
            </w:r>
          </w:p>
        </w:tc>
        <w:tc>
          <w:tcPr>
            <w:tcW w:type="dxa" w:w="697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результаты и призы  ☐ следующая дата  ☐ CTA на регистрацию  ☐ корпоративный оффер уместно озвучен</w:t>
            </w:r>
          </w:p>
        </w:tc>
        <w:tc>
          <w:tcPr>
            <w:tcW w:type="dxa" w:w="119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После закрытия</w:t>
            </w:r>
          </w:p>
        </w:tc>
        <w:tc>
          <w:tcPr>
            <w:tcW w:type="dxa" w:w="697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☐ выгрузка оплат  ☐ фактические расходы  ☐ сбои  ☐ фото/видео  ☐ обратная связь площадки</w:t>
            </w:r>
          </w:p>
        </w:tc>
        <w:tc>
          <w:tcPr>
            <w:tcW w:type="dxa" w:w="119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____</w:t>
            </w:r>
          </w:p>
        </w:tc>
      </w:tr>
    </w:tbl>
    <w:p>
      <w:pPr>
        <w:pStyle w:val="Heading1"/>
        <w:pageBreakBefore/>
      </w:pPr>
      <w:r>
        <w:t>7. Контроль экономики после каждой игры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  <w:cantSplit/>
        </w:trPr>
        <w:tc>
          <w:tcPr>
            <w:tcW w:type="dxa" w:w="3685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Показатель</w:t>
            </w:r>
          </w:p>
        </w:tc>
        <w:tc>
          <w:tcPr>
            <w:tcW w:type="dxa" w:w="130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План</w:t>
            </w:r>
          </w:p>
        </w:tc>
        <w:tc>
          <w:tcPr>
            <w:tcW w:type="dxa" w:w="130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Факт</w:t>
            </w:r>
          </w:p>
        </w:tc>
        <w:tc>
          <w:tcPr>
            <w:tcW w:type="dxa" w:w="3572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Отклонение / вывод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Платящие участники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Средняя цена билета, ₽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Выручка, ₽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Команда, ₽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Материалы / призы / помощники, ₽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Роялти, ₽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Реклама, ₽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Площадка / депозит, ₽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Налоговый сценарий, ₽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Прочие расходы, ₽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Результат, ₽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Повторные команды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Регистрация на следующую игру до нового paid-цикла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_____%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_____%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68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Корпоративные лиды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130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5"/>
              </w:rPr>
              <w:t>____________________________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ФИНАНСОВАЯ ДИСЦИПЛИНА</w:t>
            </w:r>
          </w:p>
          <w:p>
            <w:pPr>
              <w:spacing w:after="0"/>
            </w:pPr>
            <w:r>
              <w:t>Не заменяйте фактическую экономику игры «средней цифрой проекта». После каждой игры модель должна получать реальные ставки команды, фактическую рекламу, площадку, налог и дополнительные расходы.</w:t>
            </w:r>
          </w:p>
        </w:tc>
      </w:tr>
    </w:tbl>
    <w:p>
      <w:pPr>
        <w:pStyle w:val="Heading1"/>
      </w:pPr>
      <w:r>
        <w:t>8. 90-дневные контрольные точки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  <w:cantSplit/>
        </w:trPr>
        <w:tc>
          <w:tcPr>
            <w:tcW w:type="dxa" w:w="1757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5556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Что доказать</w:t>
            </w:r>
          </w:p>
        </w:tc>
        <w:tc>
          <w:tcPr>
            <w:tcW w:type="dxa" w:w="249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Решение</w:t>
            </w:r>
          </w:p>
        </w:tc>
      </w:tr>
      <w:tr>
        <w:trPr>
          <w:cantSplit/>
        </w:trPr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До первой игры</w:t>
            </w:r>
          </w:p>
        </w:tc>
        <w:tc>
          <w:tcPr>
            <w:tcW w:type="dxa" w:w="5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Есть площадка, команда, спрос и экономика слабого сценария.</w:t>
            </w:r>
          </w:p>
        </w:tc>
        <w:tc>
          <w:tcPr>
            <w:tcW w:type="dxa" w:w="249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Запускать / переносить / отказаться</w:t>
            </w:r>
          </w:p>
        </w:tc>
      </w:tr>
      <w:tr>
        <w:trPr>
          <w:cantSplit/>
        </w:trPr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Игры 1–2</w:t>
            </w:r>
          </w:p>
        </w:tc>
        <w:tc>
          <w:tcPr>
            <w:tcW w:type="dxa" w:w="5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Событие проходит качественно, команды готовы вернуться, следующая дата продаётся.</w:t>
            </w:r>
          </w:p>
        </w:tc>
        <w:tc>
          <w:tcPr>
            <w:tcW w:type="dxa" w:w="249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Продолжать / исправить продукт</w:t>
            </w:r>
          </w:p>
        </w:tc>
      </w:tr>
      <w:tr>
        <w:trPr>
          <w:cantSplit/>
        </w:trPr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Игры 3–4</w:t>
            </w:r>
          </w:p>
        </w:tc>
        <w:tc>
          <w:tcPr>
            <w:tcW w:type="dxa" w:w="5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Базовая экономика не убыточна; повторная аудитория растёт; маркетинг не «съедает» результат.</w:t>
            </w:r>
          </w:p>
        </w:tc>
        <w:tc>
          <w:tcPr>
            <w:tcW w:type="dxa" w:w="249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Удерживать / пересчитать</w:t>
            </w:r>
          </w:p>
        </w:tc>
      </w:tr>
      <w:tr>
        <w:trPr>
          <w:cantSplit/>
        </w:trPr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Дни 60–90</w:t>
            </w:r>
          </w:p>
        </w:tc>
        <w:tc>
          <w:tcPr>
            <w:tcW w:type="dxa" w:w="5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Есть стабильный канал продаж, понятное ограничение роста и воронка корпоративных продаж.</w:t>
            </w:r>
          </w:p>
        </w:tc>
        <w:tc>
          <w:tcPr>
            <w:tcW w:type="dxa" w:w="249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6"/>
              </w:rPr>
              <w:t>Масштабировать / удерживать / остановить</w:t>
            </w:r>
          </w:p>
        </w:tc>
      </w:tr>
    </w:tbl>
    <w:p>
      <w:pPr>
        <w:pStyle w:val="Heading1"/>
        <w:pageBreakBefore/>
      </w:pPr>
      <w:r>
        <w:t>9. Разбор после игры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  <w:cantSplit/>
        </w:trPr>
        <w:tc>
          <w:tcPr>
            <w:tcW w:type="dxa" w:w="3402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Вопрос</w:t>
            </w:r>
          </w:p>
        </w:tc>
        <w:tc>
          <w:tcPr>
            <w:tcW w:type="dxa" w:w="6406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Ответ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Что сработало лучше ожиданий?</w:t>
            </w:r>
          </w:p>
        </w:tc>
        <w:tc>
          <w:tcPr>
            <w:tcW w:type="dxa" w:w="64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Что сломало темп или впечатление гостей?</w:t>
            </w:r>
          </w:p>
        </w:tc>
        <w:tc>
          <w:tcPr>
            <w:tcW w:type="dxa" w:w="64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Где потеряли деньги относительно плана?</w:t>
            </w:r>
          </w:p>
        </w:tc>
        <w:tc>
          <w:tcPr>
            <w:tcW w:type="dxa" w:w="64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Какие команды готовы вернуться и почему?</w:t>
            </w:r>
          </w:p>
        </w:tc>
        <w:tc>
          <w:tcPr>
            <w:tcW w:type="dxa" w:w="64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Какие корпоративные контакты появились?</w:t>
            </w:r>
          </w:p>
        </w:tc>
        <w:tc>
          <w:tcPr>
            <w:tcW w:type="dxa" w:w="64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Какие 3 изменения обязательны к следующей игре?</w:t>
            </w:r>
          </w:p>
        </w:tc>
        <w:tc>
          <w:tcPr>
            <w:tcW w:type="dxa" w:w="64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1) ____________________  2) ____________________  3) ____________________</w:t>
            </w:r>
          </w:p>
        </w:tc>
      </w:tr>
      <w:tr>
        <w:trPr>
          <w:cantSplit/>
        </w:trPr>
        <w:tc>
          <w:tcPr>
            <w:tcW w:type="dxa" w:w="340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Что нужно прекратить делать?</w:t>
            </w:r>
          </w:p>
        </w:tc>
        <w:tc>
          <w:tcPr>
            <w:tcW w:type="dxa" w:w="64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10. Источники и границы</w:t>
      </w:r>
    </w:p>
    <w:p>
      <w:r>
        <w:rPr>
          <w:b/>
        </w:rPr>
        <w:t xml:space="preserve">Freddieshow — официальный сайт: </w:t>
      </w:r>
      <w:hyperlink r:id="rId11">
        <w:r>
          <w:rPr>
            <w:color w:val="1F5A8A"/>
            <w:u w:val="single"/>
          </w:rPr>
          <w:t>https://freddieshow.ru/</w:t>
        </w:r>
      </w:hyperlink>
    </w:p>
    <w:p>
      <w:r>
        <w:rPr>
          <w:b/>
        </w:rPr>
        <w:t xml:space="preserve">Freddieshow — франшизная группа VK: </w:t>
      </w:r>
      <w:hyperlink r:id="rId12">
        <w:r>
          <w:rPr>
            <w:color w:val="1F5A8A"/>
            <w:u w:val="single"/>
          </w:rPr>
          <w:t>https://vk.ru/freddieshow_franchise</w:t>
        </w:r>
      </w:hyperlink>
    </w:p>
    <w:p>
      <w:r>
        <w:rPr>
          <w:b/>
        </w:rPr>
        <w:t xml:space="preserve">FONAR.TV — «Битва городов»: </w:t>
      </w:r>
      <w:hyperlink r:id="rId13">
        <w:r>
          <w:rPr>
            <w:color w:val="1F5A8A"/>
            <w:u w:val="single"/>
          </w:rPr>
          <w:t>https://fonar.tv/article/2026/04/30/kviz-obzor-zhara-v-holodnom-aprele</w:t>
        </w:r>
      </w:hyperlink>
    </w:p>
    <w:p>
      <w:r>
        <w:rPr>
          <w:b/>
        </w:rPr>
        <w:t xml:space="preserve">ФНС России — УСН: </w:t>
      </w:r>
      <w:hyperlink r:id="rId14">
        <w:r>
          <w:rPr>
            <w:color w:val="1F5A8A"/>
            <w:u w:val="single"/>
          </w:rPr>
          <w:t>https://www.nalog.gov.ru/rn77/taxation/taxes/usn/</w:t>
        </w:r>
      </w:hyperlink>
    </w:p>
    <w:p>
      <w:r>
        <w:rPr>
          <w:b/>
        </w:rPr>
        <w:t xml:space="preserve">Роспатент — часть IV ГК РФ: </w:t>
      </w:r>
      <w:hyperlink r:id="rId15">
        <w:r>
          <w:rPr>
            <w:color w:val="1F5A8A"/>
            <w:u w:val="single"/>
          </w:rPr>
          <w:t>https://rospatent.gov.ru/ru/documents/grazhdanskiy-kodeks-rossiyskoy-federacii-chast-chetvertaya</w:t>
        </w:r>
      </w:hyperlink>
    </w:p>
    <w:p>
      <w:r>
        <w:t>Операционные и финансовые ориентиры также основаны на материалах Freddieshow, предоставленных редакции в период 27.08–09.09.2026. Документ предназначен для управленческой проверки и не заменяет консультацию юриста, бухгалтера или специалиста по музыкальным правам.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ФИНАЛЬНОЕ ПРАВИЛО</w:t>
            </w:r>
          </w:p>
          <w:p>
            <w:pPr>
              <w:spacing w:after="0"/>
            </w:pPr>
            <w:r>
              <w:t>Профессиональная проверка франшизы заканчивается не вопросом «нравится ли мне проект?», а ответом на три вещи: где пройдёт первая игра, сколько людей нужно до нуля и почему эти люди захотят вернуться.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4" w:right="935" w:bottom="765" w:left="935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E6773"/>
        <w:sz w:val="14"/>
      </w:rPr>
      <w:t>Дата фактчека: 09.09.2026   •   Факты проекта, публичные подтверждения и сценарные расчёты разделены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E6773"/>
        <w:sz w:val="15"/>
      </w:rPr>
      <w:t>БИЗНЕС ПОД МИКРОСКОПОМ   /   FREDDIESHOW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0262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B162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E7F5C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B162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5E6773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freddieshow.ru/" TargetMode="External"/><Relationship Id="rId12" Type="http://schemas.openxmlformats.org/officeDocument/2006/relationships/hyperlink" Target="https://vk.ru/freddieshow_franchise" TargetMode="External"/><Relationship Id="rId13" Type="http://schemas.openxmlformats.org/officeDocument/2006/relationships/hyperlink" Target="https://fonar.tv/article/2026/04/30/kviz-obzor-zhara-v-holodnom-aprele" TargetMode="External"/><Relationship Id="rId14" Type="http://schemas.openxmlformats.org/officeDocument/2006/relationships/hyperlink" Target="https://www.nalog.gov.ru/rn77/taxation/taxes/usn/" TargetMode="External"/><Relationship Id="rId15" Type="http://schemas.openxmlformats.org/officeDocument/2006/relationships/hyperlink" Target="https://rospatent.gov.ru/ru/documents/grazhdanskiy-kodeks-rossiyskoy-federacii-chast-chetverta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