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1E7F5C"/>
          <w:sz w:val="17"/>
        </w:rPr>
        <w:t>РАЗБОР КОМПАНИИ / ПАСПОРТ БИЗНЕС-МОДЕЛИ</w:t>
      </w:r>
    </w:p>
    <w:p>
      <w:pPr>
        <w:pStyle w:val="Title"/>
      </w:pPr>
      <w:r>
        <w:t>Freddieshow — паспорт бизнес-модели</w:t>
      </w:r>
    </w:p>
    <w:p>
      <w:pPr>
        <w:pStyle w:val="Subtitle"/>
      </w:pPr>
      <w:r>
        <w:t>Короткая управленческая карта: что продаёт модель, за счёт чего она удерживает аудиторию, где возникает экономика и какие условия делают запуск жизнеспособным.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336000" cy="4222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222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/>
          <w:i/>
          <w:color w:val="5E6773"/>
          <w:sz w:val="16"/>
        </w:rPr>
        <w:t>Freddieshow — событие, где музыкальная игра работает вместе с ведущим, площадкой и локальным сообществом.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0B1623"/>
            <w:tcMar>
              <w:top w:w="10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D9A441"/>
                <w:sz w:val="26"/>
              </w:rPr>
              <w:t>13.04.2017</w:t>
            </w:r>
          </w:p>
        </w:tc>
        <w:tc>
          <w:tcPr>
            <w:tcW w:type="dxa" w:w="2592"/>
            <w:shd w:fill="0B1623"/>
            <w:tcMar>
              <w:top w:w="10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D9A441"/>
                <w:sz w:val="26"/>
              </w:rPr>
              <w:t>19 + 1</w:t>
            </w:r>
          </w:p>
        </w:tc>
        <w:tc>
          <w:tcPr>
            <w:tcW w:type="dxa" w:w="2592"/>
            <w:shd w:fill="0B1623"/>
            <w:tcMar>
              <w:top w:w="10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D9A441"/>
                <w:sz w:val="26"/>
              </w:rPr>
              <w:t>45–120 тыс. ₽</w:t>
            </w:r>
          </w:p>
        </w:tc>
        <w:tc>
          <w:tcPr>
            <w:tcW w:type="dxa" w:w="2592"/>
            <w:shd w:fill="0B1623"/>
            <w:tcMar>
              <w:top w:w="10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D9A441"/>
                <w:sz w:val="26"/>
              </w:rPr>
              <w:t>≈75%</w:t>
            </w:r>
          </w:p>
        </w:tc>
      </w:tr>
      <w:tr>
        <w:tc>
          <w:tcPr>
            <w:tcW w:type="dxa" w:w="2592"/>
            <w:tcMar>
              <w:top w:w="6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color w:val="20262E"/>
                <w:sz w:val="15"/>
              </w:rPr>
              <w:t>первая игра в Краснодаре</w:t>
            </w:r>
          </w:p>
        </w:tc>
        <w:tc>
          <w:tcPr>
            <w:tcW w:type="dxa" w:w="2592"/>
            <w:tcMar>
              <w:top w:w="6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color w:val="20262E"/>
                <w:sz w:val="15"/>
              </w:rPr>
              <w:t>19 действующих городов + Челябинск в запуске</w:t>
            </w:r>
          </w:p>
        </w:tc>
        <w:tc>
          <w:tcPr>
            <w:tcW w:type="dxa" w:w="2592"/>
            <w:tcMar>
              <w:top w:w="6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color w:val="20262E"/>
                <w:sz w:val="15"/>
              </w:rPr>
              <w:t>ориентир стартовых вложений</w:t>
            </w:r>
          </w:p>
        </w:tc>
        <w:tc>
          <w:tcPr>
            <w:tcW w:type="dxa" w:w="2592"/>
            <w:tcMar>
              <w:top w:w="6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color w:val="20262E"/>
                <w:sz w:val="15"/>
              </w:rPr>
              <w:t>средний возврат команд — внутренняя статистика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3F5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D9A441"/>
                <w:sz w:val="17"/>
              </w:rPr>
              <w:t>ГЛАВНЫЙ ВЫВОД</w:t>
            </w:r>
          </w:p>
          <w:p>
            <w:pPr>
              <w:spacing w:after="0"/>
            </w:pPr>
            <w:r>
              <w:t>Freddieshow — не пассивная инвестиция и не «пакет вопросов». Это готовая технология регулярного события, которая начинает приносить ценность только тогда, когда локальный оператор умеет собирать людей, удерживать качество игры и превращать разовый визит в привычку возвращаться.</w:t>
            </w:r>
          </w:p>
        </w:tc>
      </w:tr>
    </w:tbl>
    <w:p>
      <w:pPr>
        <w:pStyle w:val="Heading1"/>
        <w:pageBreakBefore/>
      </w:pPr>
      <w:r>
        <w:t>1. Что покупает партнёр</w:t>
      </w:r>
    </w:p>
    <w:p>
      <w:r>
        <w:t>Модель масштабирует не помещение, а саму технологию вечера. Партнёр получает основу, с которой можно быстрее пройти путь от идеи до первой игры, но локальный результат создаётся уже в городе — площадкой, ведущим, командой и отношениями с аудиторией.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rPr>
          <w:tblHeader w:val="true"/>
          <w:cantSplit/>
        </w:trPr>
        <w:tc>
          <w:tcPr>
            <w:tcW w:type="dxa" w:w="1757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Слой модели</w:t>
            </w:r>
          </w:p>
        </w:tc>
        <w:tc>
          <w:tcPr>
            <w:tcW w:type="dxa" w:w="3515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Что передаётся</w:t>
            </w:r>
          </w:p>
        </w:tc>
        <w:tc>
          <w:tcPr>
            <w:tcW w:type="dxa" w:w="4082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Где остаётся работа партнёра</w:t>
            </w:r>
          </w:p>
        </w:tc>
      </w:tr>
      <w:tr>
        <w:trPr>
          <w:cantSplit/>
        </w:trPr>
        <w:tc>
          <w:tcPr>
            <w:tcW w:type="dxa" w:w="175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Продукт</w:t>
            </w:r>
          </w:p>
        </w:tc>
        <w:tc>
          <w:tcPr>
            <w:tcW w:type="dxa" w:w="351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Игровые пакеты, сценарный каркас, механика музыкального шоу.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Сильное проведение, адаптация к аудитории, темп и энергия зала.</w:t>
            </w:r>
          </w:p>
        </w:tc>
      </w:tr>
      <w:tr>
        <w:trPr>
          <w:cantSplit/>
        </w:trPr>
        <w:tc>
          <w:tcPr>
            <w:tcW w:type="dxa" w:w="175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Бренд и визуалы</w:t>
            </w:r>
          </w:p>
        </w:tc>
        <w:tc>
          <w:tcPr>
            <w:tcW w:type="dxa" w:w="351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Фирменные макеты и материалы для запуска и коммуникаций.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Локальная узнаваемость, оформление соцсетей, качество контента.</w:t>
            </w:r>
          </w:p>
        </w:tc>
      </w:tr>
      <w:tr>
        <w:trPr>
          <w:cantSplit/>
        </w:trPr>
        <w:tc>
          <w:tcPr>
            <w:tcW w:type="dxa" w:w="175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Запуск</w:t>
            </w:r>
          </w:p>
        </w:tc>
        <w:tc>
          <w:tcPr>
            <w:tcW w:type="dxa" w:w="351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Методика подготовки, рекомендации и сопровождение.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Выбор площадки, сбор команды, регистрация, локальная реклама.</w:t>
            </w:r>
          </w:p>
        </w:tc>
      </w:tr>
      <w:tr>
        <w:trPr>
          <w:cantSplit/>
        </w:trPr>
        <w:tc>
          <w:tcPr>
            <w:tcW w:type="dxa" w:w="175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Экономика</w:t>
            </w:r>
          </w:p>
        </w:tc>
        <w:tc>
          <w:tcPr>
            <w:tcW w:type="dxa" w:w="351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Ориентиры по чеку, расходам и роялти.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Реальные ставки команды, налоговый режим, площадка, рекламный бюджет.</w:t>
            </w:r>
          </w:p>
        </w:tc>
      </w:tr>
      <w:tr>
        <w:trPr>
          <w:cantSplit/>
        </w:trPr>
        <w:tc>
          <w:tcPr>
            <w:tcW w:type="dxa" w:w="1757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Сообщество</w:t>
            </w:r>
          </w:p>
        </w:tc>
        <w:tc>
          <w:tcPr>
            <w:tcW w:type="dxa" w:w="351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Опыт других организаторов и сетевые активности.</w:t>
            </w:r>
          </w:p>
        </w:tc>
        <w:tc>
          <w:tcPr>
            <w:tcW w:type="dxa" w:w="408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Отношения с командами, традиции города и повторные посещения.</w:t>
            </w:r>
          </w:p>
        </w:tc>
      </w:tr>
    </w:tbl>
    <w:p>
      <w:pPr>
        <w:pStyle w:val="Heading1"/>
      </w:pPr>
      <w:r>
        <w:t>2. Как устроена денежная модель</w:t>
      </w:r>
    </w:p>
    <w:p>
      <w:r>
        <w:t>У модели два основных денежных ритма: публичные игры создают регулярность и узнаваемость, корпоративы добавляют выручку от корпоративных заказов. Базовый расчёт ниже нужен не как обещание, а как контрольная точка, от которой предприниматель пересчитывает свой город.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rPr>
          <w:tblHeader w:val="true"/>
          <w:cantSplit/>
        </w:trPr>
        <w:tc>
          <w:tcPr>
            <w:tcW w:type="dxa" w:w="2324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Показатель</w:t>
            </w:r>
          </w:p>
        </w:tc>
        <w:tc>
          <w:tcPr>
            <w:tcW w:type="dxa" w:w="2324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Базовый сценарий</w:t>
            </w:r>
          </w:p>
        </w:tc>
        <w:tc>
          <w:tcPr>
            <w:tcW w:type="dxa" w:w="4706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Что это значит</w:t>
            </w:r>
          </w:p>
        </w:tc>
      </w:tr>
      <w:tr>
        <w:trPr>
          <w:cantSplit/>
        </w:trPr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Участники / билет</w:t>
            </w:r>
          </w:p>
        </w:tc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100 человек × 500 ₽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50 000 ₽ выручки за открытую игру.</w:t>
            </w:r>
          </w:p>
        </w:tc>
      </w:tr>
      <w:tr>
        <w:trPr>
          <w:cantSplit/>
        </w:trPr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Команда</w:t>
            </w:r>
          </w:p>
        </w:tc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13 500 ₽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Ведущий, диджей и фотограф в базовом сценарии.</w:t>
            </w:r>
          </w:p>
        </w:tc>
      </w:tr>
      <w:tr>
        <w:trPr>
          <w:cantSplit/>
        </w:trPr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Материалы и помощники</w:t>
            </w:r>
          </w:p>
        </w:tc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5 000 ₽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Типография, призы и помощники.</w:t>
            </w:r>
          </w:p>
        </w:tc>
      </w:tr>
      <w:tr>
        <w:trPr>
          <w:cantSplit/>
        </w:trPr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Роялти</w:t>
            </w:r>
          </w:p>
        </w:tc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4 000 ₽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Внутри диапазона 3–5 тыс. ₽ за открытую игру.</w:t>
            </w:r>
          </w:p>
        </w:tc>
      </w:tr>
      <w:tr>
        <w:trPr>
          <w:cantSplit/>
        </w:trPr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Продвижение</w:t>
            </w:r>
          </w:p>
        </w:tc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2 500 ₽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Сценарный бюджет на таргет VK.</w:t>
            </w:r>
          </w:p>
        </w:tc>
      </w:tr>
      <w:tr>
        <w:trPr>
          <w:cantSplit/>
        </w:trPr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Налог</w:t>
            </w:r>
          </w:p>
        </w:tc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3 000 ₽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Иллюстративный УСН 6%; не универсальный налоговый совет.</w:t>
            </w:r>
          </w:p>
        </w:tc>
      </w:tr>
      <w:tr>
        <w:trPr>
          <w:cantSplit/>
        </w:trPr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Всего расходов</w:t>
            </w:r>
          </w:p>
        </w:tc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28 000 ₽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Без индивидуальных дополнительных расходов города.</w:t>
            </w:r>
          </w:p>
        </w:tc>
      </w:tr>
      <w:tr>
        <w:trPr>
          <w:cantSplit/>
        </w:trPr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Сценарный результат</w:t>
            </w:r>
          </w:p>
        </w:tc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22 000 ₽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Не гарантированная чистая прибыль.</w:t>
            </w:r>
          </w:p>
        </w:tc>
      </w:tr>
      <w:tr>
        <w:trPr>
          <w:cantSplit/>
        </w:trPr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Точка безубыточности</w:t>
            </w:r>
          </w:p>
        </w:tc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≈54 участника</w:t>
            </w:r>
          </w:p>
        </w:tc>
        <w:tc>
          <w:tcPr>
            <w:tcW w:type="dxa" w:w="470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При тех же базовых вводных.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6E9C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0B1623"/>
                <w:sz w:val="17"/>
              </w:rPr>
              <w:t>ПЛАТЕЖИ ПРОЕКТУ</w:t>
            </w:r>
          </w:p>
          <w:p>
            <w:pPr>
              <w:spacing w:after="0"/>
            </w:pPr>
            <w:r>
              <w:t>Паушальный взнос — 30–100 тыс. ₽ в зависимости от масштаба города. Подготовка запуска — ещё около 15–20 тыс. ₽. Роялти открытой игры — 3–5 тыс. ₽, корпоратива — 4 тыс. ₽. Других обязательных регулярных платежей со стороны проекта нет; команда, реклама, налоги и площадка относятся к собственной операционной экономике партнёра.</w:t>
            </w:r>
          </w:p>
        </w:tc>
      </w:tr>
    </w:tbl>
    <w:p>
      <w:pPr>
        <w:pStyle w:val="Heading2"/>
      </w:pPr>
      <w:r>
        <w:t>Корпоративный канал</w:t>
      </w:r>
    </w:p>
    <w:p>
      <w:r>
        <w:t>Корпоративы не заменяют открытые игры: они добавляют второй канал выручки и знакомят с форматом новую аудиторию. Диапазон заказа внутри проекта — 30–70 тыс. ₽, рабочий ориентир — около 60 тыс. ₽. При базовом составе команды и иллюстративном УСН 6% сценарный результат около 33,9 тыс. ₽ — до дополнительных расходов конкретного технического задания.</w:t>
      </w:r>
    </w:p>
    <w:p>
      <w:pPr>
        <w:pStyle w:val="Heading1"/>
        <w:pageBreakBefore/>
      </w:pPr>
      <w:r>
        <w:t>3. Почему модель держится на возвращаемости</w:t>
      </w:r>
    </w:p>
    <w:p>
      <w:r>
        <w:t>Главный экономический актив появляется не в момент первой продажи билета, а между первой и следующей игрой. Если команда возвращается без необходимости каждый раз покупать её заново рекламой, у филиала появляется предсказуемый календарь и более устойчивая экономика.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rPr>
          <w:tblHeader w:val="true"/>
          <w:cantSplit/>
        </w:trPr>
        <w:tc>
          <w:tcPr>
            <w:tcW w:type="dxa" w:w="1814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Механизм</w:t>
            </w:r>
          </w:p>
        </w:tc>
        <w:tc>
          <w:tcPr>
            <w:tcW w:type="dxa" w:w="3969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Как он работает</w:t>
            </w:r>
          </w:p>
        </w:tc>
        <w:tc>
          <w:tcPr>
            <w:tcW w:type="dxa" w:w="3572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Что измерять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Регулярный календарь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Следующая дата известна заранее, поэтому событие начинает входить в привычку.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Доля команд, зарегистрировавшихся на следующую игру до нового рекламного цикла.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Сильный ведущий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Ведущий становится частью продукта и локального образа бренда.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Отзывы, жалобы, технические сбои, повтор после первой игры.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Локальные традиции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Рейтинги, конкурсы и знакомые команды создают чувство принадлежности.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Повторные команды, 3+ игры за 90 дней, рекомендации.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Межгородские активности</w:t>
            </w:r>
          </w:p>
        </w:tc>
        <w:tc>
          <w:tcPr>
            <w:tcW w:type="dxa" w:w="3969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Сеть даёт участнику ощущение более крупной истории.</w:t>
            </w:r>
          </w:p>
        </w:tc>
        <w:tc>
          <w:tcPr>
            <w:tcW w:type="dxa" w:w="357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Участие команд, контент пользователей, возврат после спецсобытий.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3F5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D9A441"/>
                <w:sz w:val="17"/>
              </w:rPr>
              <w:t>ПУБЛИЧНЫЙ ПРИМЕР</w:t>
            </w:r>
          </w:p>
          <w:p>
            <w:pPr>
              <w:spacing w:after="0"/>
            </w:pPr>
            <w:r>
              <w:t>В апреле 2026 года восьмая «Битва городов» собрала 154 команды из семи городов. Это независимое подтверждение того, что межгородская механика существует не только как элемент презентации проекта.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3F5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D9A441"/>
                <w:sz w:val="17"/>
              </w:rPr>
              <w:t>ВНУТРЕННЯЯ МЕТРИКА</w:t>
            </w:r>
          </w:p>
          <w:p>
            <w:pPr>
              <w:spacing w:after="0"/>
            </w:pPr>
            <w:r>
              <w:t>По внутренней статистике Freddieshow возврат команд в действующих филиалах находится примерно в диапазоне 60–90%, средний ориентир — около 75%. Использовать это число следует как показатель проекта, а не как независимый отраслевой ориентир.</w:t>
            </w:r>
          </w:p>
        </w:tc>
      </w:tr>
    </w:tbl>
    <w:p>
      <w:pPr>
        <w:pStyle w:val="Heading1"/>
      </w:pPr>
      <w:r>
        <w:t>4. Площадка и вместимость: где находится физический предел</w:t>
      </w:r>
    </w:p>
    <w:p>
      <w:r>
        <w:t>В базовой модели ресторан или бар может предоставить зал без классической аренды, потому что получает поток гостей в слабый будний вечер. Это сильное преимущество, но оно не гарантировано. Депозит, аренда, ограничения по звуку или неудобный слот способны заметно сдвинуть точку безубыточности.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rPr>
          <w:tblHeader w:val="true"/>
          <w:cantSplit/>
        </w:trPr>
        <w:tc>
          <w:tcPr>
            <w:tcW w:type="dxa" w:w="1814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Ограничение</w:t>
            </w:r>
          </w:p>
        </w:tc>
        <w:tc>
          <w:tcPr>
            <w:tcW w:type="dxa" w:w="3288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Риск</w:t>
            </w:r>
          </w:p>
        </w:tc>
        <w:tc>
          <w:tcPr>
            <w:tcW w:type="dxa" w:w="4252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Управленческое действие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Посадка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Зал не позволяет расти выше определённого числа участников.</w:t>
            </w:r>
          </w:p>
        </w:tc>
        <w:tc>
          <w:tcPr>
            <w:tcW w:type="dxa" w:w="42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Считать реальную вместимость с учётом проходов, сцены, экранов и сервиса.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Регулярный слот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У площадки нет стабильного буднего окна.</w:t>
            </w:r>
          </w:p>
        </w:tc>
        <w:tc>
          <w:tcPr>
            <w:tcW w:type="dxa" w:w="42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Договориться о календаре до запуска или иметь резервную площадку.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Техника и звук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Плохой звук разрушает продукт сильнее, чем слабый декор.</w:t>
            </w:r>
          </w:p>
        </w:tc>
        <w:tc>
          <w:tcPr>
            <w:tcW w:type="dxa" w:w="42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Проводить технический прогон до анонса и иметь резерв.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Депозит / аренда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Постоянный расход увеличивает break-even.</w:t>
            </w:r>
          </w:p>
        </w:tc>
        <w:tc>
          <w:tcPr>
            <w:tcW w:type="dxa" w:w="42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Включать его в модель до оплаты франшизы.</w:t>
            </w:r>
          </w:p>
        </w:tc>
      </w:tr>
      <w:tr>
        <w:trPr>
          <w:cantSplit/>
        </w:trPr>
        <w:tc>
          <w:tcPr>
            <w:tcW w:type="dxa" w:w="1814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Команда</w:t>
            </w:r>
          </w:p>
        </w:tc>
        <w:tc>
          <w:tcPr>
            <w:tcW w:type="dxa" w:w="3288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Всё держится на одном человеке.</w:t>
            </w:r>
          </w:p>
        </w:tc>
        <w:tc>
          <w:tcPr>
            <w:tcW w:type="dxa" w:w="4252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Закрепить роли и резерв хотя бы по критическим функциям.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3F5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D9A441"/>
                <w:sz w:val="17"/>
              </w:rPr>
              <w:t>СИЛЬНЫЙ КЕЙС, А НЕ СРЕДНЕЕ</w:t>
            </w:r>
          </w:p>
          <w:p>
            <w:pPr>
              <w:spacing w:after="0"/>
            </w:pPr>
            <w:r>
              <w:t>Мурманский филиал, по данным проекта, проводит 2–3 игры в месяц и на крупных мероприятиях может собирать до 250 участников. Это пример верхней траектории конкретного города, а не план продаж для нового партнёра.</w:t>
            </w:r>
          </w:p>
        </w:tc>
      </w:tr>
    </w:tbl>
    <w:p>
      <w:pPr>
        <w:pStyle w:val="Heading1"/>
      </w:pPr>
      <w:r>
        <w:t>5. Как читать историю 30+ запусков</w:t>
      </w:r>
    </w:p>
    <w:p>
      <w:r>
        <w:t>За всю историю Freddieshow было чуть больше 30 запусков, а на начало сентября 2026 года работали 19 городов и Челябинск находился в запуске. Эти цифры нельзя превращать в грубый «процент успеха»: ранние этапы сети отличались от нынешней модели.</w:t>
      </w:r>
    </w:p>
    <w:p>
      <w:pPr>
        <w:pStyle w:val="ListBullet"/>
        <w:spacing w:after="60"/>
      </w:pPr>
      <w:r>
        <w:t>Часть ранних городов запускалась без паушального взноса и через личные договорённости, поэтому уровень предпринимательской дисциплины был неодинаковым.</w:t>
      </w:r>
    </w:p>
    <w:p>
      <w:pPr>
        <w:pStyle w:val="ListBullet"/>
        <w:spacing w:after="60"/>
      </w:pPr>
      <w:r>
        <w:t>Остановки могли происходить из-за слабого старта, проблем с площадкой или ведущим, несовпадения формата с локальной аудиторией, переезда или выгорания организатора.</w:t>
      </w:r>
    </w:p>
    <w:p>
      <w:pPr>
        <w:pStyle w:val="ListBullet"/>
        <w:spacing w:after="60"/>
      </w:pPr>
      <w:r>
        <w:t>Сеть может возвращаться в город с новым оператором: прекращение одной партнёрской истории не обязательно означает отказ от самого рынка.</w:t>
      </w:r>
    </w:p>
    <w:p>
      <w:pPr>
        <w:pStyle w:val="ListBullet"/>
        <w:spacing w:after="60"/>
      </w:pPr>
      <w:r>
        <w:t>Сочи продолжает работать через Rock Bar «Треугольник» и собственные социальные каналы площадки; закрытая карточка стороннего агрегатора сама по себе не означает закрытие города.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3F5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D9A441"/>
                <w:sz w:val="17"/>
              </w:rPr>
              <w:t>ЧТО ВАЖНО ПОТЕНЦИАЛЬНОМУ ПАРТНЁРУ</w:t>
            </w:r>
          </w:p>
          <w:p>
            <w:pPr>
              <w:spacing w:after="0"/>
            </w:pPr>
            <w:r>
              <w:t>История сети показывает не «идеальную франшизу», а реальный событийный бизнес: сильная система сокращает количество ошибок, но не отменяет зависимость от локального оператора.</w:t>
            </w:r>
          </w:p>
        </w:tc>
      </w:tr>
    </w:tbl>
    <w:p>
      <w:pPr>
        <w:pStyle w:val="Heading1"/>
      </w:pPr>
      <w:r>
        <w:t>6. Кому подходит модель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5"/>
        <w:gridCol w:w="5185"/>
      </w:tblGrid>
      <w:tr>
        <w:trPr>
          <w:tblHeader w:val="true"/>
          <w:cantSplit/>
        </w:trPr>
        <w:tc>
          <w:tcPr>
            <w:tcW w:type="dxa" w:w="2835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Профиль</w:t>
            </w:r>
          </w:p>
        </w:tc>
        <w:tc>
          <w:tcPr>
            <w:tcW w:type="dxa" w:w="6520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Почему подходит / не подходит</w:t>
            </w:r>
          </w:p>
        </w:tc>
      </w:tr>
      <w:tr>
        <w:trPr>
          <w:cantSplit/>
        </w:trPr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Активный организатор / ведущий</w:t>
            </w:r>
          </w:p>
        </w:tc>
        <w:tc>
          <w:tcPr>
            <w:tcW w:type="dxa" w:w="652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Сильное совпадение: готов лично строить событие и отношения с командами.</w:t>
            </w:r>
          </w:p>
        </w:tc>
      </w:tr>
      <w:tr>
        <w:trPr>
          <w:cantSplit/>
        </w:trPr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Предприниматель в сфере мероприятий</w:t>
            </w:r>
          </w:p>
        </w:tc>
        <w:tc>
          <w:tcPr>
            <w:tcW w:type="dxa" w:w="652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Сильное совпадение: получает регулярный продукт вместо одних разовых заказов.</w:t>
            </w:r>
          </w:p>
        </w:tc>
      </w:tr>
      <w:tr>
        <w:trPr>
          <w:cantSplit/>
        </w:trPr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Бар / ресторан</w:t>
            </w:r>
          </w:p>
        </w:tc>
        <w:tc>
          <w:tcPr>
            <w:tcW w:type="dxa" w:w="652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Может использовать формат как управляемый событийный трафик и отдельный продукт.</w:t>
            </w:r>
          </w:p>
        </w:tc>
      </w:tr>
      <w:tr>
        <w:trPr>
          <w:cantSplit/>
        </w:trPr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Предприниматель с локальными связями</w:t>
            </w:r>
          </w:p>
        </w:tc>
        <w:tc>
          <w:tcPr>
            <w:tcW w:type="dxa" w:w="652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Подходит при готовности лично управлять запуском, маркетингом и командой.</w:t>
            </w:r>
          </w:p>
        </w:tc>
      </w:tr>
      <w:tr>
        <w:trPr>
          <w:cantSplit/>
        </w:trPr>
        <w:tc>
          <w:tcPr>
            <w:tcW w:type="dxa" w:w="283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Пассивный инвестор</w:t>
            </w:r>
          </w:p>
        </w:tc>
        <w:tc>
          <w:tcPr>
            <w:tcW w:type="dxa" w:w="6520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Слабое совпадение: бренд и материалы не заменят локальное операционное управление.</w:t>
            </w:r>
          </w:p>
        </w:tc>
      </w:tr>
    </w:tbl>
    <w:p>
      <w:r>
        <w:br w:type="page"/>
      </w:r>
    </w:p>
    <w:p>
      <w:pPr>
        <w:pStyle w:val="Heading1"/>
      </w:pPr>
      <w:r>
        <w:t>7. Решение до оплаты: пять контрольных условий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rPr>
          <w:tblHeader w:val="true"/>
          <w:cantSplit/>
        </w:trPr>
        <w:tc>
          <w:tcPr>
            <w:tcW w:type="dxa" w:w="1701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3855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Зелёный сигнал</w:t>
            </w:r>
          </w:p>
        </w:tc>
        <w:tc>
          <w:tcPr>
            <w:tcW w:type="dxa" w:w="3855"/>
            <w:shd w:fill="0B162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Стоп-сигнал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Площадка</w:t>
            </w:r>
          </w:p>
        </w:tc>
        <w:tc>
          <w:tcPr>
            <w:tcW w:type="dxa" w:w="385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Есть конкретный зал, регулярный слот, техника и письменные условия.</w:t>
            </w:r>
          </w:p>
        </w:tc>
        <w:tc>
          <w:tcPr>
            <w:tcW w:type="dxa" w:w="385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Площадка «найдётся после покупки».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Спрос</w:t>
            </w:r>
          </w:p>
        </w:tc>
        <w:tc>
          <w:tcPr>
            <w:tcW w:type="dxa" w:w="385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Модель сходится не только при полной посадке; есть план набора первых команд.</w:t>
            </w:r>
          </w:p>
        </w:tc>
        <w:tc>
          <w:tcPr>
            <w:tcW w:type="dxa" w:w="385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Экономика положительна только в идеальном сценарии.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Команда</w:t>
            </w:r>
          </w:p>
        </w:tc>
        <w:tc>
          <w:tcPr>
            <w:tcW w:type="dxa" w:w="385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Определены ведущий, звук, фото, регистрация и маркетинг; есть резерв.</w:t>
            </w:r>
          </w:p>
        </w:tc>
        <w:tc>
          <w:tcPr>
            <w:tcW w:type="dxa" w:w="385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Вся игра держится на одном человеке без замены.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Договор</w:t>
            </w:r>
          </w:p>
        </w:tc>
        <w:tc>
          <w:tcPr>
            <w:tcW w:type="dxa" w:w="385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Понятны срок, территория, роялти, прекращение, права на бренд и контент.</w:t>
            </w:r>
          </w:p>
        </w:tc>
        <w:tc>
          <w:tcPr>
            <w:tcW w:type="dxa" w:w="385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  <w:shd w:fill="F8F9FA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Критические условия существуют только в устных обещаниях.</w:t>
            </w:r>
          </w:p>
        </w:tc>
      </w:tr>
      <w:tr>
        <w:trPr>
          <w:cantSplit/>
        </w:trPr>
        <w:tc>
          <w:tcPr>
            <w:tcW w:type="dxa" w:w="1701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Музыка</w:t>
            </w:r>
          </w:p>
        </w:tc>
        <w:tc>
          <w:tcPr>
            <w:tcW w:type="dxa" w:w="385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Письменно понятно, кто закрывает необходимые права: площадка или организатор.</w:t>
            </w:r>
          </w:p>
        </w:tc>
        <w:tc>
          <w:tcPr>
            <w:tcW w:type="dxa" w:w="3855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pPr>
              <w:spacing w:after="0" w:line="245" w:lineRule="auto"/>
            </w:pPr>
            <w:r>
              <w:rPr>
                <w:rFonts w:ascii="Arial" w:hAnsi="Arial"/>
                <w:color w:val="20262E"/>
                <w:sz w:val="17"/>
              </w:rPr>
              <w:t>Ответственность за музыку не распределена.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3F5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D9A441"/>
                <w:sz w:val="17"/>
              </w:rPr>
              <w:t>ПРАВИЛО РЕШЕНИЯ</w:t>
            </w:r>
          </w:p>
          <w:p>
            <w:pPr>
              <w:spacing w:after="0"/>
            </w:pPr>
            <w:r>
              <w:t>Если хотя бы один критический блок — площадка, экономика или договор — остаётся «на потом», запуск лучше не ускорять. Низкий денежный вход не компенсирует фундаментальную неопределённость.</w:t>
            </w:r>
          </w:p>
        </w:tc>
      </w:tr>
    </w:tbl>
    <w:p>
      <w:pPr>
        <w:pStyle w:val="Heading1"/>
      </w:pPr>
      <w:r>
        <w:t>8. Источники и границы</w:t>
      </w:r>
    </w:p>
    <w:p>
      <w:r>
        <w:rPr>
          <w:b/>
        </w:rPr>
        <w:t xml:space="preserve">Официальный сайт Freddieshow: </w:t>
      </w:r>
      <w:hyperlink r:id="rId12">
        <w:r>
          <w:rPr>
            <w:color w:val="1F5A8A"/>
            <w:u w:val="single"/>
          </w:rPr>
          <w:t>https://freddieshow.ru/</w:t>
        </w:r>
      </w:hyperlink>
      <w:r>
        <w:t xml:space="preserve"> — описание проекта и контакты.</w:t>
      </w:r>
    </w:p>
    <w:p>
      <w:r>
        <w:rPr>
          <w:b/>
        </w:rPr>
        <w:t xml:space="preserve">Франшизная группа Freddieshow: </w:t>
      </w:r>
      <w:hyperlink r:id="rId13">
        <w:r>
          <w:rPr>
            <w:color w:val="1F5A8A"/>
            <w:u w:val="single"/>
          </w:rPr>
          <w:t>https://vk.ru/freddieshow_franchise</w:t>
        </w:r>
      </w:hyperlink>
      <w:r>
        <w:t xml:space="preserve"> — публичный канал для потенциальных партнёров.</w:t>
      </w:r>
    </w:p>
    <w:p>
      <w:r>
        <w:rPr>
          <w:b/>
        </w:rPr>
        <w:t xml:space="preserve">Altapress — Барнаул, 20.09.2017: </w:t>
      </w:r>
      <w:hyperlink r:id="rId14">
        <w:r>
          <w:rPr>
            <w:color w:val="1F5A8A"/>
            <w:u w:val="single"/>
          </w:rPr>
          <w:t>https://altapress.ru/afisha/story/freddieshow-v-barnaulskom-bare-poyavitsya-novoe-muzikalnoe-razvlechenie-247894</w:t>
        </w:r>
      </w:hyperlink>
      <w:r>
        <w:t xml:space="preserve"> — независимое подтверждение масштабирования проекта в 2017 году.</w:t>
      </w:r>
    </w:p>
    <w:p>
      <w:r>
        <w:rPr>
          <w:b/>
        </w:rPr>
        <w:t xml:space="preserve">FONAR.TV — «Битва городов», 30.04.2026: </w:t>
      </w:r>
      <w:hyperlink r:id="rId15">
        <w:r>
          <w:rPr>
            <w:color w:val="1F5A8A"/>
            <w:u w:val="single"/>
          </w:rPr>
          <w:t>https://fonar.tv/article/2026/04/30/kviz-obzor-zhara-v-holodnom-aprele</w:t>
        </w:r>
      </w:hyperlink>
      <w:r>
        <w:t xml:space="preserve"> — 154 команды из 7 городов.</w:t>
      </w:r>
    </w:p>
    <w:p>
      <w:r>
        <w:rPr>
          <w:b/>
        </w:rPr>
        <w:t xml:space="preserve">FONAR.TV — Белгород, 28.07.2026: </w:t>
      </w:r>
      <w:hyperlink r:id="rId16">
        <w:r>
          <w:rPr>
            <w:color w:val="1F5A8A"/>
            <w:u w:val="single"/>
          </w:rPr>
          <w:t>https://fonar.tv/article/2026/07/28/kviz-obzor-kak-i-kakie-tradicii-rozhdayutsya-na-kvizah-rasskazyvaem-ob-iyulskih-igrah-v-belgorode</w:t>
        </w:r>
      </w:hyperlink>
      <w:r>
        <w:t xml:space="preserve"> — 67-я игра, 25 команд.</w:t>
      </w:r>
    </w:p>
    <w:p>
      <w:r>
        <w:rPr>
          <w:b/>
        </w:rPr>
        <w:t xml:space="preserve">FONAR.TV — Белгород, 25.08.2026: </w:t>
      </w:r>
      <w:hyperlink r:id="rId17">
        <w:r>
          <w:rPr>
            <w:color w:val="1F5A8A"/>
            <w:u w:val="single"/>
          </w:rPr>
          <w:t>https://fonar.tv/article/2026/08/25/kviz-obzor-s-posledney-party-leta-chto-belgorodskie-igroki-v-kvizy-pomnyat-iz-shkolnoy-programmy</w:t>
        </w:r>
      </w:hyperlink>
      <w:r>
        <w:t xml:space="preserve"> — тематическая игра, 30 команд.</w:t>
      </w:r>
    </w:p>
    <w:p>
      <w:r>
        <w:rPr>
          <w:b/>
        </w:rPr>
        <w:t xml:space="preserve">ФНС России — УСН: </w:t>
      </w:r>
      <w:hyperlink r:id="rId18">
        <w:r>
          <w:rPr>
            <w:color w:val="1F5A8A"/>
            <w:u w:val="single"/>
          </w:rPr>
          <w:t>https://www.nalog.gov.ru/rn77/taxation/taxes/usn/</w:t>
        </w:r>
      </w:hyperlink>
      <w:r>
        <w:t xml:space="preserve"> — официальные правила налогового режима; ставка 6% в модели используется только как иллюстративный сценарий.</w:t>
      </w:r>
    </w:p>
    <w:p>
      <w:r>
        <w:rPr>
          <w:b/>
        </w:rPr>
        <w:t xml:space="preserve">Роспатент — часть IV ГК РФ: </w:t>
      </w:r>
      <w:hyperlink r:id="rId19">
        <w:r>
          <w:rPr>
            <w:color w:val="1F5A8A"/>
            <w:u w:val="single"/>
          </w:rPr>
          <w:t>https://rospatent.gov.ru/ru/documents/grazhdanskiy-kodeks-rossiyskoy-federacii-chast-chetvertaya</w:t>
        </w:r>
      </w:hyperlink>
      <w:r>
        <w:t xml:space="preserve"> — правовой контур лицензирования и товарного знака.</w:t>
      </w:r>
    </w:p>
    <w:p>
      <w:r>
        <w:t>Дополнительно использованы материалы Freddieshow, предоставленные редакции в период 27.08–09.09.2026. Внутренняя статистика проекта маркируется отдельно и не подменяет независимые публичные данные.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3F5F7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D9A441"/>
                <w:sz w:val="17"/>
              </w:rPr>
              <w:t>ОГРАНИЧЕНИЕ</w:t>
            </w:r>
          </w:p>
          <w:p>
            <w:pPr>
              <w:spacing w:after="0"/>
            </w:pPr>
            <w:r>
              <w:t>Документ не является офертой, гарантией доходности или юридическим заключением. Все финансовые результаты — сценарии, которые необходимо пересчитать для конкретного города, площадки, команды и налогового режима.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4" w:right="935" w:bottom="765" w:left="935" w:header="369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E6773"/>
        <w:sz w:val="14"/>
      </w:rPr>
      <w:t>Дата фактчека: 09.09.2026   •   Факты проекта, публичные подтверждения и сценарные расчёты разделены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5E6773"/>
        <w:sz w:val="15"/>
      </w:rPr>
      <w:t>БИЗНЕС ПОД МИКРОСКОПОМ   /   FREDDIESHOW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0262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B162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E7F5C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B162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rial" w:hAnsi="Arial"/>
      <w:b w:val="0"/>
      <w:i/>
      <w:iCs/>
      <w:color w:val="5E6773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hyperlink" Target="https://freddieshow.ru/" TargetMode="External"/><Relationship Id="rId13" Type="http://schemas.openxmlformats.org/officeDocument/2006/relationships/hyperlink" Target="https://vk.ru/freddieshow_franchise" TargetMode="External"/><Relationship Id="rId14" Type="http://schemas.openxmlformats.org/officeDocument/2006/relationships/hyperlink" Target="https://altapress.ru/afisha/story/freddieshow-v-barnaulskom-bare-poyavitsya-novoe-muzikalnoe-razvlechenie-247894" TargetMode="External"/><Relationship Id="rId15" Type="http://schemas.openxmlformats.org/officeDocument/2006/relationships/hyperlink" Target="https://fonar.tv/article/2026/04/30/kviz-obzor-zhara-v-holodnom-aprele" TargetMode="External"/><Relationship Id="rId16" Type="http://schemas.openxmlformats.org/officeDocument/2006/relationships/hyperlink" Target="https://fonar.tv/article/2026/07/28/kviz-obzor-kak-i-kakie-tradicii-rozhdayutsya-na-kvizah-rasskazyvaem-ob-iyulskih-igrah-v-belgorode" TargetMode="External"/><Relationship Id="rId17" Type="http://schemas.openxmlformats.org/officeDocument/2006/relationships/hyperlink" Target="https://fonar.tv/article/2026/08/25/kviz-obzor-s-posledney-party-leta-chto-belgorodskie-igroki-v-kvizy-pomnyat-iz-shkolnoy-programmy" TargetMode="External"/><Relationship Id="rId18" Type="http://schemas.openxmlformats.org/officeDocument/2006/relationships/hyperlink" Target="https://www.nalog.gov.ru/rn77/taxation/taxes/usn/" TargetMode="External"/><Relationship Id="rId19" Type="http://schemas.openxmlformats.org/officeDocument/2006/relationships/hyperlink" Target="https://rospatent.gov.ru/ru/documents/grazhdanskiy-kodeks-rossiyskoy-federacii-chast-chetverta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