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ubric"/>
      </w:pPr>
      <w:r>
        <w:t>СТАРТАПЫ · ДОСЬЕ</w:t>
      </w:r>
    </w:p>
    <w:p>
      <w:pPr>
        <w:pStyle w:val="Title"/>
      </w:pPr>
      <w:r>
        <w:t>Harvey — досье стартапа и модели vertical AI</w:t>
      </w:r>
    </w:p>
    <w:p>
      <w:pPr>
        <w:spacing w:after="200"/>
      </w:pPr>
      <w:r>
        <w:rPr>
          <w:i/>
          <w:color w:val="627D98"/>
          <w:sz w:val="22"/>
        </w:rPr>
        <w:t>Продукт, рынок, финансирование, экономика, moat, конкуренты и контрольные вопросы на 11.09.2026.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tblHeader w:val="true"/>
          <w:cantSplit w:val="true"/>
        </w:trPr>
        <w:tc>
          <w:tcPr>
            <w:tcW w:type="dxa" w:w="10224"/>
            <w:shd w:fill="EAF4F6"/>
            <w:tcBorders>
              <w:top w:val="single" w:sz="4" w:color="D9E2EC"/>
              <w:left w:val="single" w:sz="14" w:color="0E7490"/>
              <w:bottom w:val="single" w:sz="4" w:color="D9E2EC"/>
              <w:right w:val="single" w:sz="4" w:color="D9E2EC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0E7490"/>
                <w:sz w:val="22"/>
              </w:rPr>
              <w:t>Статус документа</w:t>
            </w:r>
          </w:p>
          <w:p>
            <w:pPr>
              <w:spacing w:after="20" w:line="259" w:lineRule="auto"/>
            </w:pPr>
            <w:r>
              <w:rPr>
                <w:rFonts w:ascii="Arial" w:hAnsi="Arial"/>
                <w:color w:val="243B53"/>
                <w:sz w:val="20"/>
              </w:rPr>
              <w:t>Рабочее аналитическое досье. Публичные факты отделены от заявлений компании, независимых сообщений и расчётных выводов. Не является инвестиционной рекомендацией и не заменяет юридический due diligence.</w:t>
            </w:r>
          </w:p>
        </w:tc>
      </w:tr>
    </w:tbl>
    <w:p>
      <w:pPr>
        <w:spacing w:after="0"/>
      </w:pPr>
    </w:p>
    <w:p>
      <w:pPr>
        <w:pStyle w:val="Heading1"/>
      </w:pPr>
      <w:r>
        <w:t>1. Карточка компании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  <w:cantSplit w:val="true"/>
        </w:trPr>
        <w:tc>
          <w:tcPr>
            <w:tcW w:type="dxa" w:w="302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7056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Компания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Harvey AI Corporation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Основание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2022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Сооснователи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Winston Weinberg и Gabe/Gabriel Pereyra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Категория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Vertical AI / legal AI / professional services AI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Главные клиенты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Крупные юридические фирмы, in-house legal teams, professional services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Последняя оценка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$15,5 млрд, 09.09.2026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Последний раунд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$550 млн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Масштаб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200 000+ специалистов, 2 400+ организаций, 70+ стран — заявления компании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Последний публичный сигнал выручки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около $350 млн ARR / annualized revenue по независимым сообщениям</w:t>
            </w:r>
          </w:p>
        </w:tc>
      </w:tr>
      <w:tr>
        <w:trPr>
          <w:cantSplit w:val="true"/>
        </w:trPr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Прибыльность</w:t>
            </w:r>
          </w:p>
        </w:tc>
        <w:tc>
          <w:tcPr>
            <w:tcW w:type="dxa" w:w="70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 The Times — пока не прибыльна</w:t>
            </w:r>
          </w:p>
        </w:tc>
      </w:tr>
    </w:tbl>
    <w:p>
      <w:pPr>
        <w:spacing w:after="0"/>
      </w:pPr>
    </w:p>
    <w:p>
      <w:pPr>
        <w:pStyle w:val="Heading1"/>
      </w:pPr>
      <w:r>
        <w:t>2. Проблема и Job-to-be-Done</w:t>
      </w:r>
    </w:p>
    <w:p>
      <w:r>
        <w:t>Юридическая работа состоит не из одного вопроса к модели. Типовой matter включает поиск и проверку источников, чтение десятков документов, извлечение фактов, сравнение с шаблонами и playbook, подготовку черновиков, ревью, передачу результата коллегам, контроль прав доступа и сохранение контекста. Цена ошибки высока, а стоимость квалифицированного времени — значительна.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  <w:cantSplit w:val="true"/>
        </w:trPr>
        <w:tc>
          <w:tcPr>
            <w:tcW w:type="dxa" w:w="3168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JTBD</w:t>
            </w:r>
          </w:p>
        </w:tc>
        <w:tc>
          <w:tcPr>
            <w:tcW w:type="dxa" w:w="691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Что делает vertical AI</w:t>
            </w:r>
          </w:p>
        </w:tc>
      </w:tr>
      <w:tr>
        <w:trPr>
          <w:cantSplit w:val="true"/>
        </w:trPr>
        <w:tc>
          <w:tcPr>
            <w:tcW w:type="dxa" w:w="316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Исследовать вопрос</w:t>
            </w:r>
          </w:p>
        </w:tc>
        <w:tc>
          <w:tcPr>
            <w:tcW w:type="dxa" w:w="69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Ищет по юридическим и внутренним источникам с привязкой к контексту</w:t>
            </w:r>
          </w:p>
        </w:tc>
      </w:tr>
      <w:tr>
        <w:trPr>
          <w:cantSplit w:val="true"/>
        </w:trPr>
        <w:tc>
          <w:tcPr>
            <w:tcW w:type="dxa" w:w="316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Разобрать массив документов</w:t>
            </w:r>
          </w:p>
        </w:tc>
        <w:tc>
          <w:tcPr>
            <w:tcW w:type="dxa" w:w="69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Классифицирует, извлекает условия, находит отклонения и риски</w:t>
            </w:r>
          </w:p>
        </w:tc>
      </w:tr>
      <w:tr>
        <w:trPr>
          <w:cantSplit w:val="true"/>
        </w:trPr>
        <w:tc>
          <w:tcPr>
            <w:tcW w:type="dxa" w:w="316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Подготовить work product</w:t>
            </w:r>
          </w:p>
        </w:tc>
        <w:tc>
          <w:tcPr>
            <w:tcW w:type="dxa" w:w="69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Формирует draft/memo/таблицу/сводку в заданном формате</w:t>
            </w:r>
          </w:p>
        </w:tc>
      </w:tr>
      <w:tr>
        <w:trPr>
          <w:cantSplit w:val="true"/>
        </w:trPr>
        <w:tc>
          <w:tcPr>
            <w:tcW w:type="dxa" w:w="316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Сохранить стандарты фирмы</w:t>
            </w:r>
          </w:p>
        </w:tc>
        <w:tc>
          <w:tcPr>
            <w:tcW w:type="dxa" w:w="69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Использует шаблоны, предпочтения, playbooks и историю matter</w:t>
            </w:r>
          </w:p>
        </w:tc>
      </w:tr>
      <w:tr>
        <w:trPr>
          <w:cantSplit w:val="true"/>
        </w:trPr>
        <w:tc>
          <w:tcPr>
            <w:tcW w:type="dxa" w:w="316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Работать безопасно</w:t>
            </w:r>
          </w:p>
        </w:tc>
        <w:tc>
          <w:tcPr>
            <w:tcW w:type="dxa" w:w="69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Соблюдает permissions, ethical walls, audit/governance</w:t>
            </w:r>
          </w:p>
        </w:tc>
      </w:tr>
      <w:tr>
        <w:trPr>
          <w:cantSplit w:val="true"/>
        </w:trPr>
        <w:tc>
          <w:tcPr>
            <w:tcW w:type="dxa" w:w="316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Сократить цикл</w:t>
            </w:r>
          </w:p>
        </w:tc>
        <w:tc>
          <w:tcPr>
            <w:tcW w:type="dxa" w:w="69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Переводит специалиста из ручного исполнения в delegate-review pattern</w:t>
            </w:r>
          </w:p>
        </w:tc>
      </w:tr>
    </w:tbl>
    <w:p>
      <w:pPr>
        <w:spacing w:after="0"/>
      </w:pPr>
    </w:p>
    <w:p>
      <w:pPr>
        <w:pStyle w:val="Heading1"/>
      </w:pPr>
      <w:r>
        <w:t>3. Продуктовый стек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  <w:cantSplit w:val="true"/>
        </w:trPr>
        <w:tc>
          <w:tcPr>
            <w:tcW w:type="dxa" w:w="223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Слой</w:t>
            </w:r>
          </w:p>
        </w:tc>
        <w:tc>
          <w:tcPr>
            <w:tcW w:type="dxa" w:w="3888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Роль в продукте</w:t>
            </w:r>
          </w:p>
        </w:tc>
        <w:tc>
          <w:tcPr>
            <w:tcW w:type="dxa" w:w="3960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Почему это важно для moat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Agents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Многошаговое выполнение legal workflow</w:t>
            </w:r>
          </w:p>
        </w:tc>
        <w:tc>
          <w:tcPr>
            <w:tcW w:type="dxa" w:w="396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Чем больше законченных задач, тем выше ценность против общего чата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Vault / Knowledge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Документы и источники</w:t>
            </w:r>
          </w:p>
        </w:tc>
        <w:tc>
          <w:tcPr>
            <w:tcW w:type="dxa" w:w="396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Накопление контекста и работа с фирменным знанием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Contract Intelligence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Договорные процессы</w:t>
            </w:r>
          </w:p>
        </w:tc>
        <w:tc>
          <w:tcPr>
            <w:tcW w:type="dxa" w:w="396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Вход в repeatable, measurable workflow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Spaces / context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Matter-centric collaboration</w:t>
            </w:r>
          </w:p>
        </w:tc>
        <w:tc>
          <w:tcPr>
            <w:tcW w:type="dxa" w:w="396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Контекст сохраняется между людьми и задачами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Ecosystem / integrations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DMS, корпоративные хранилища, рабочие инструменты</w:t>
            </w:r>
          </w:p>
        </w:tc>
        <w:tc>
          <w:tcPr>
            <w:tcW w:type="dxa" w:w="396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Высокий switching cost и меньшая friction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Command Center / governance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Управление внедрением, analytics, policies</w:t>
            </w:r>
          </w:p>
        </w:tc>
        <w:tc>
          <w:tcPr>
            <w:tcW w:type="dxa" w:w="396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Продажа не отдельному пользователю, а организации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Research / LAB / post-training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Отраслевые evals и модельные улучшения</w:t>
            </w:r>
          </w:p>
        </w:tc>
        <w:tc>
          <w:tcPr>
            <w:tcW w:type="dxa" w:w="396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Проверяемая производительность вместо общей «умности»</w:t>
            </w:r>
          </w:p>
        </w:tc>
      </w:tr>
    </w:tbl>
    <w:p>
      <w:pPr>
        <w:spacing w:after="0"/>
      </w:pPr>
    </w:p>
    <w:p>
      <w:pPr>
        <w:pStyle w:val="Heading1"/>
      </w:pPr>
      <w:r>
        <w:t>4. Traction и adoption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Harvey заявил в сентябре 2026 года, что продукт используют 80% Am Law 100 и legal teams пяти компаний из Fortune 10.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Текущая витрина Harvey указывает 200 000+ специалистов, 2 400+ организаций и присутствие в 70+ странах.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В августе 2025 года компания сообщала &gt;500 клиентов, &gt;$100 млн ARR, 4× рост WAU за год, 5,5× рост monthly queries и рост active files с 268 тыс. до 9,75 млн.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В марте 2026 года Harvey сообщил о более чем 25 000 custom agents, работающих у клиентов.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tblHeader w:val="true"/>
          <w:cantSplit w:val="true"/>
        </w:trPr>
        <w:tc>
          <w:tcPr>
            <w:tcW w:type="dxa" w:w="10224"/>
            <w:shd w:fill="EAF4F6"/>
            <w:tcBorders>
              <w:top w:val="single" w:sz="4" w:color="D9E2EC"/>
              <w:left w:val="single" w:sz="14" w:color="0E7490"/>
              <w:bottom w:val="single" w:sz="4" w:color="D9E2EC"/>
              <w:right w:val="single" w:sz="4" w:color="D9E2EC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0E7490"/>
                <w:sz w:val="22"/>
              </w:rPr>
              <w:t>Как читать эти цифры</w:t>
            </w:r>
          </w:p>
          <w:p>
            <w:pPr>
              <w:spacing w:after="20" w:line="259" w:lineRule="auto"/>
            </w:pPr>
            <w:r>
              <w:rPr>
                <w:rFonts w:ascii="Arial" w:hAnsi="Arial"/>
                <w:color w:val="243B53"/>
                <w:sz w:val="20"/>
              </w:rPr>
              <w:t>Большая часть adoption-метрик — заявления самой компании. Они полезны как сигнал масштаба, но не заменяют NRR, churn, paid seats, contract value и cohort retention — эти показатели публично не раскрыты.</w:t>
            </w:r>
          </w:p>
        </w:tc>
      </w:tr>
    </w:tbl>
    <w:p>
      <w:pPr>
        <w:spacing w:after="0"/>
      </w:pPr>
    </w:p>
    <w:p>
      <w:pPr>
        <w:pStyle w:val="Heading1"/>
      </w:pPr>
      <w:r>
        <w:t>5. Funding и valuation dynamics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  <w:cantSplit w:val="true"/>
        </w:trPr>
        <w:tc>
          <w:tcPr>
            <w:tcW w:type="dxa" w:w="1440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Дата</w:t>
            </w:r>
          </w:p>
        </w:tc>
        <w:tc>
          <w:tcPr>
            <w:tcW w:type="dxa" w:w="1800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Раунд</w:t>
            </w:r>
          </w:p>
        </w:tc>
        <w:tc>
          <w:tcPr>
            <w:tcW w:type="dxa" w:w="1440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Сумма</w:t>
            </w:r>
          </w:p>
        </w:tc>
        <w:tc>
          <w:tcPr>
            <w:tcW w:type="dxa" w:w="158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Оценка</w:t>
            </w:r>
          </w:p>
        </w:tc>
        <w:tc>
          <w:tcPr>
            <w:tcW w:type="dxa" w:w="3888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Lead / ключевой инвестор</w:t>
            </w:r>
          </w:p>
        </w:tc>
      </w:tr>
      <w:tr>
        <w:trPr>
          <w:cantSplit w:val="true"/>
        </w:trPr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23.11.2022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Seed</w:t>
            </w:r>
          </w:p>
        </w:tc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$5 млн</w:t>
            </w:r>
          </w:p>
        </w:tc>
        <w:tc>
          <w:tcPr>
            <w:tcW w:type="dxa" w:w="158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—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OpenAI Startup Fund</w:t>
            </w:r>
          </w:p>
        </w:tc>
      </w:tr>
      <w:tr>
        <w:trPr>
          <w:cantSplit w:val="true"/>
        </w:trPr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26.04.2023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Series A</w:t>
            </w:r>
          </w:p>
        </w:tc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$21 млн</w:t>
            </w:r>
          </w:p>
        </w:tc>
        <w:tc>
          <w:tcPr>
            <w:tcW w:type="dxa" w:w="158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—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Sequoia</w:t>
            </w:r>
          </w:p>
        </w:tc>
      </w:tr>
      <w:tr>
        <w:trPr>
          <w:cantSplit w:val="true"/>
        </w:trPr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19.12.2023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Series B</w:t>
            </w:r>
          </w:p>
        </w:tc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$80 млн</w:t>
            </w:r>
          </w:p>
        </w:tc>
        <w:tc>
          <w:tcPr>
            <w:tcW w:type="dxa" w:w="158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$715 млн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Elad Gil / Kleiner Perkins</w:t>
            </w:r>
          </w:p>
        </w:tc>
      </w:tr>
      <w:tr>
        <w:trPr>
          <w:cantSplit w:val="true"/>
        </w:trPr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23.07.2024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Series C</w:t>
            </w:r>
          </w:p>
        </w:tc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$100 млн</w:t>
            </w:r>
          </w:p>
        </w:tc>
        <w:tc>
          <w:tcPr>
            <w:tcW w:type="dxa" w:w="158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$1,5 млрд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GV</w:t>
            </w:r>
          </w:p>
        </w:tc>
      </w:tr>
      <w:tr>
        <w:trPr>
          <w:cantSplit w:val="true"/>
        </w:trPr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12.02.2025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Series D</w:t>
            </w:r>
          </w:p>
        </w:tc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$300 млн</w:t>
            </w:r>
          </w:p>
        </w:tc>
        <w:tc>
          <w:tcPr>
            <w:tcW w:type="dxa" w:w="158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$3 млрд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Sequoia</w:t>
            </w:r>
          </w:p>
        </w:tc>
      </w:tr>
      <w:tr>
        <w:trPr>
          <w:cantSplit w:val="true"/>
        </w:trPr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23.06.2025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Series E</w:t>
            </w:r>
          </w:p>
        </w:tc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$300 млн</w:t>
            </w:r>
          </w:p>
        </w:tc>
        <w:tc>
          <w:tcPr>
            <w:tcW w:type="dxa" w:w="158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$5 млрд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Kleiner Perkins / Coatue</w:t>
            </w:r>
          </w:p>
        </w:tc>
      </w:tr>
      <w:tr>
        <w:trPr>
          <w:cantSplit w:val="true"/>
        </w:trPr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04.12.2025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Growth round</w:t>
            </w:r>
          </w:p>
        </w:tc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$160 млн</w:t>
            </w:r>
          </w:p>
        </w:tc>
        <w:tc>
          <w:tcPr>
            <w:tcW w:type="dxa" w:w="158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$8 млрд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Andreessen Horowitz</w:t>
            </w:r>
          </w:p>
        </w:tc>
      </w:tr>
      <w:tr>
        <w:trPr>
          <w:cantSplit w:val="true"/>
        </w:trPr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25.03.2026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Growth round</w:t>
            </w:r>
          </w:p>
        </w:tc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$200 млн</w:t>
            </w:r>
          </w:p>
        </w:tc>
        <w:tc>
          <w:tcPr>
            <w:tcW w:type="dxa" w:w="158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$11 млрд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GIC / Sequoia</w:t>
            </w:r>
          </w:p>
        </w:tc>
      </w:tr>
      <w:tr>
        <w:trPr>
          <w:cantSplit w:val="true"/>
        </w:trPr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09.09.2026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Growth round</w:t>
            </w:r>
          </w:p>
        </w:tc>
        <w:tc>
          <w:tcPr>
            <w:tcW w:type="dxa" w:w="144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$550 млн</w:t>
            </w:r>
          </w:p>
        </w:tc>
        <w:tc>
          <w:tcPr>
            <w:tcW w:type="dxa" w:w="158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$15,5 млрд</w:t>
            </w:r>
          </w:p>
        </w:tc>
        <w:tc>
          <w:tcPr>
            <w:tcW w:type="dxa" w:w="38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Diffusion / Lightspeed</w:t>
            </w:r>
          </w:p>
        </w:tc>
      </w:tr>
    </w:tbl>
    <w:p>
      <w:pPr>
        <w:spacing w:after="0"/>
      </w:pPr>
    </w:p>
    <w:p>
      <w:r>
        <w:t>Контрольная сумма перечисленных раундов — $1,716 млрд. Это не «денег на счёте»: раунды растянуты по времени, Harvey тратит средства, а отдельные сделки включали tender/secondary-компоненты.</w:t>
      </w:r>
    </w:p>
    <w:p>
      <w:pPr>
        <w:pStyle w:val="Heading1"/>
      </w:pPr>
      <w:r>
        <w:t>6. Reverse economics по публичным данным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  <w:cantSplit w:val="true"/>
        </w:trPr>
        <w:tc>
          <w:tcPr>
            <w:tcW w:type="dxa" w:w="3096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Расчёт</w:t>
            </w:r>
          </w:p>
        </w:tc>
        <w:tc>
          <w:tcPr>
            <w:tcW w:type="dxa" w:w="223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Формула</w:t>
            </w:r>
          </w:p>
        </w:tc>
        <w:tc>
          <w:tcPr>
            <w:tcW w:type="dxa" w:w="1656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3096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Ограничение</w:t>
            </w:r>
          </w:p>
        </w:tc>
      </w:tr>
      <w:tr>
        <w:trPr>
          <w:cantSplit w:val="true"/>
        </w:trPr>
        <w:tc>
          <w:tcPr>
            <w:tcW w:type="dxa" w:w="309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Простой valuation / reported revenue</w:t>
            </w:r>
          </w:p>
        </w:tc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$15,5 млрд / ~$350 млн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~44,3×</w:t>
            </w:r>
          </w:p>
        </w:tc>
        <w:tc>
          <w:tcPr>
            <w:tcW w:type="dxa" w:w="309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Не EV/ARR в строгом смысле; нет audited data</w:t>
            </w:r>
          </w:p>
        </w:tc>
      </w:tr>
      <w:tr>
        <w:trPr>
          <w:cantSplit w:val="true"/>
        </w:trPr>
        <w:tc>
          <w:tcPr>
            <w:tcW w:type="dxa" w:w="309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Reported annualized revenue / employee</w:t>
            </w:r>
          </w:p>
        </w:tc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~$350 млн / ~1 200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~$292 тыс.</w:t>
            </w:r>
          </w:p>
        </w:tc>
        <w:tc>
          <w:tcPr>
            <w:tcW w:type="dxa" w:w="309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Порядок величины; структура команды и contractor mix неизвестны</w:t>
            </w:r>
          </w:p>
        </w:tc>
      </w:tr>
      <w:tr>
        <w:trPr>
          <w:cantSplit w:val="true"/>
        </w:trPr>
        <w:tc>
          <w:tcPr>
            <w:tcW w:type="dxa" w:w="309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Последний раунд / reported revenue</w:t>
            </w:r>
          </w:p>
        </w:tc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$550 млн / ~$350 млн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~1,57×</w:t>
            </w:r>
          </w:p>
        </w:tc>
        <w:tc>
          <w:tcPr>
            <w:tcW w:type="dxa" w:w="309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Не показатель burn или runway</w:t>
            </w:r>
          </w:p>
        </w:tc>
      </w:tr>
      <w:tr>
        <w:trPr>
          <w:cantSplit w:val="true"/>
        </w:trPr>
        <w:tc>
          <w:tcPr>
            <w:tcW w:type="dxa" w:w="309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Рост оценки март→сентябрь 2026</w:t>
            </w:r>
          </w:p>
        </w:tc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$15,5 / $11 - 1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~41%</w:t>
            </w:r>
          </w:p>
        </w:tc>
        <w:tc>
          <w:tcPr>
            <w:tcW w:type="dxa" w:w="309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Оценки раундов, не рыночная капитализация</w:t>
            </w:r>
          </w:p>
        </w:tc>
      </w:tr>
    </w:tbl>
    <w:p>
      <w:pPr>
        <w:spacing w:after="0"/>
      </w:pP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Публично не раскрыты: gross margin, CAC, churn, NRR, cash balance, monthly burn, contract size distribution, revenue recognition.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Поэтому нельзя честно посчитать LTV/CAC, Rule of 40, полноценный runway или фундаментальный DCF.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Сценарный runway в приложенной XLSX — только стресс-тест последнего $550 млн раунда при разных burn assumptions, а не оценка реального запаса денег Harvey.</w:t>
      </w:r>
    </w:p>
    <w:p>
      <w:pPr>
        <w:pStyle w:val="Heading1"/>
      </w:pPr>
      <w:r>
        <w:t>7. Moat scorecard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  <w:cantSplit w:val="true"/>
        </w:trPr>
        <w:tc>
          <w:tcPr>
            <w:tcW w:type="dxa" w:w="194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Фактор</w:t>
            </w:r>
          </w:p>
        </w:tc>
        <w:tc>
          <w:tcPr>
            <w:tcW w:type="dxa" w:w="1656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Сила</w:t>
            </w:r>
          </w:p>
        </w:tc>
        <w:tc>
          <w:tcPr>
            <w:tcW w:type="dxa" w:w="403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  <w:tc>
          <w:tcPr>
            <w:tcW w:type="dxa" w:w="2880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Риск</w:t>
            </w:r>
          </w:p>
        </w:tc>
      </w:tr>
      <w:tr>
        <w:trPr>
          <w:cantSplit w:val="true"/>
        </w:trPr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Workflow depth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Высокая</w:t>
            </w:r>
          </w:p>
        </w:tc>
        <w:tc>
          <w:tcPr>
            <w:tcW w:type="dxa" w:w="40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Многошаговые агенты + matter context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Frontier platforms быстро догоняют</w:t>
            </w:r>
          </w:p>
        </w:tc>
      </w:tr>
      <w:tr>
        <w:trPr>
          <w:cantSplit w:val="true"/>
        </w:trPr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Customer data/context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Высокая</w:t>
            </w:r>
          </w:p>
        </w:tc>
        <w:tc>
          <w:tcPr>
            <w:tcW w:type="dxa" w:w="40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Документы, history, templates, memory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Клиенты могут потребовать self-hosted/open-weight</w:t>
            </w:r>
          </w:p>
        </w:tc>
      </w:tr>
      <w:tr>
        <w:trPr>
          <w:cantSplit w:val="true"/>
        </w:trPr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Integrations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Высокая</w:t>
            </w:r>
          </w:p>
        </w:tc>
        <w:tc>
          <w:tcPr>
            <w:tcW w:type="dxa" w:w="40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DMS/knowledge/work systems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Экосистемы Microsoft/Google/TR уже внутри клиента</w:t>
            </w:r>
          </w:p>
        </w:tc>
      </w:tr>
      <w:tr>
        <w:trPr>
          <w:cantSplit w:val="true"/>
        </w:trPr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Domain evals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Средне-высокая</w:t>
            </w:r>
          </w:p>
        </w:tc>
        <w:tc>
          <w:tcPr>
            <w:tcW w:type="dxa" w:w="40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LAB и юридические критерии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Benchmark можно копировать/стандартизировать</w:t>
            </w:r>
          </w:p>
        </w:tc>
      </w:tr>
      <w:tr>
        <w:trPr>
          <w:cantSplit w:val="true"/>
        </w:trPr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Distribution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Высокая</w:t>
            </w:r>
          </w:p>
        </w:tc>
        <w:tc>
          <w:tcPr>
            <w:tcW w:type="dxa" w:w="40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80% Am Law 100 по заявлению компании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Категория становится multi-vendor</w:t>
            </w:r>
          </w:p>
        </w:tc>
      </w:tr>
      <w:tr>
        <w:trPr>
          <w:cantSplit w:val="true"/>
        </w:trPr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Foundation model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Низкая как moat</w:t>
            </w:r>
          </w:p>
        </w:tc>
        <w:tc>
          <w:tcPr>
            <w:tcW w:type="dxa" w:w="40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Модели взаимозаменяемы и быстро меняются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Нужна model-agnostic архитектура</w:t>
            </w:r>
          </w:p>
        </w:tc>
      </w:tr>
      <w:tr>
        <w:trPr>
          <w:cantSplit w:val="true"/>
        </w:trPr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Trust/security</w:t>
            </w:r>
          </w:p>
        </w:tc>
        <w:tc>
          <w:tcPr>
            <w:tcW w:type="dxa" w:w="16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Высокая, но дорогая</w:t>
            </w:r>
          </w:p>
        </w:tc>
        <w:tc>
          <w:tcPr>
            <w:tcW w:type="dxa" w:w="40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Enterprise controls и governance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Ошибки/инциденты ударят по всей категории</w:t>
            </w:r>
          </w:p>
        </w:tc>
      </w:tr>
    </w:tbl>
    <w:p>
      <w:pPr>
        <w:spacing w:after="0"/>
      </w:pPr>
    </w:p>
    <w:p>
      <w:pPr>
        <w:pStyle w:val="Heading1"/>
      </w:pPr>
      <w:r>
        <w:t>8. Конкурентная карта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  <w:cantSplit w:val="true"/>
        </w:trPr>
        <w:tc>
          <w:tcPr>
            <w:tcW w:type="dxa" w:w="223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Игрок</w:t>
            </w:r>
          </w:p>
        </w:tc>
        <w:tc>
          <w:tcPr>
            <w:tcW w:type="dxa" w:w="230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Позиция</w:t>
            </w:r>
          </w:p>
        </w:tc>
        <w:tc>
          <w:tcPr>
            <w:tcW w:type="dxa" w:w="302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Сильная сторона</w:t>
            </w:r>
          </w:p>
        </w:tc>
        <w:tc>
          <w:tcPr>
            <w:tcW w:type="dxa" w:w="2808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Угроза Harvey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Thomson Reuters CoCounsel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Legal AI + proprietary content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Westlaw / Practical Law, огромная installed base</w:t>
            </w:r>
          </w:p>
        </w:tc>
        <w:tc>
          <w:tcPr>
            <w:tcW w:type="dxa" w:w="280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Может bundled-продавать AI вместе с данными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Legora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Pure-play legal AI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Быстрый рост; &gt;$100 млн ARR по TechCrunch</w:t>
            </w:r>
          </w:p>
        </w:tc>
        <w:tc>
          <w:tcPr>
            <w:tcW w:type="dxa" w:w="280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Прямая конкуренция за law firms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Google Gemini Enterprise for Legal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Cloud + legal vertical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Модели, cloud, connectors, governance</w:t>
            </w:r>
          </w:p>
        </w:tc>
        <w:tc>
          <w:tcPr>
            <w:tcW w:type="dxa" w:w="280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Сильная инфраструктура и enterprise distribution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Microsoft / general AI stack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Horizontal enterprise AI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Корпоративные отношения и productivity suite</w:t>
            </w:r>
          </w:p>
        </w:tc>
        <w:tc>
          <w:tcPr>
            <w:tcW w:type="dxa" w:w="280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Может закрывать часть use cases внутри существующего стека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In-house systems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Собственные решения крупных фирм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Контроль данных, custom workflows</w:t>
            </w:r>
          </w:p>
        </w:tc>
        <w:tc>
          <w:tcPr>
            <w:tcW w:type="dxa" w:w="280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Самые крупные клиенты могут внутренне забирать слой интеллекта</w:t>
            </w:r>
          </w:p>
        </w:tc>
      </w:tr>
    </w:tbl>
    <w:p>
      <w:pPr>
        <w:spacing w:after="0"/>
      </w:pPr>
    </w:p>
    <w:p>
      <w:pPr>
        <w:pStyle w:val="Heading1"/>
      </w:pPr>
      <w:r>
        <w:t>9. Риски тезиса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Valuation risk: ~44× reported annualized revenue требует продолжения гиперроста.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Commoditization risk: улучшение базовых моделей и agent frameworks снижает технологический барьер.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Content/data risk: поставщики юридических баз могут усиливать свои вертикальные продукты.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Customer concentration / procurement: enterprise legal продаётся долго и требует security/compliance work.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Margin risk: embedded engineers, domain experts, inference, content licenses и support могут быть тяжелее обычного SaaS.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Reliability risk: в legal work «почти правильно» часто неприемлемо, поэтому human review остаётся частью процесса.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Build-vs-buy risk: крупнейшие фирмы способны строить свои модели и agents.</w:t>
      </w:r>
    </w:p>
    <w:p>
      <w:pPr>
        <w:pStyle w:val="Heading1"/>
      </w:pPr>
      <w:r>
        <w:t>10. Что отслеживать в течение 12 месяцев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  <w:cantSplit w:val="true"/>
        </w:trPr>
        <w:tc>
          <w:tcPr>
            <w:tcW w:type="dxa" w:w="223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Сигнал</w:t>
            </w:r>
          </w:p>
        </w:tc>
        <w:tc>
          <w:tcPr>
            <w:tcW w:type="dxa" w:w="3600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Почему важен</w:t>
            </w:r>
          </w:p>
        </w:tc>
        <w:tc>
          <w:tcPr>
            <w:tcW w:type="dxa" w:w="374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Что будет усиливать тезис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Revenue growth</w:t>
            </w:r>
          </w:p>
        </w:tc>
        <w:tc>
          <w:tcPr>
            <w:tcW w:type="dxa" w:w="36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Проверяет оправданность valuation</w:t>
            </w:r>
          </w:p>
        </w:tc>
        <w:tc>
          <w:tcPr>
            <w:tcW w:type="dxa" w:w="37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Сохранение &gt;80% annualized growth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NRR / expansion</w:t>
            </w:r>
          </w:p>
        </w:tc>
        <w:tc>
          <w:tcPr>
            <w:tcW w:type="dxa" w:w="36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Показывает глубину внедрения</w:t>
            </w:r>
          </w:p>
        </w:tc>
        <w:tc>
          <w:tcPr>
            <w:tcW w:type="dxa" w:w="37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Рост seat/workflow expansion внутри клиентов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Agent completion</w:t>
            </w:r>
          </w:p>
        </w:tc>
        <w:tc>
          <w:tcPr>
            <w:tcW w:type="dxa" w:w="36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Показывает переход к end-to-end</w:t>
            </w:r>
          </w:p>
        </w:tc>
        <w:tc>
          <w:tcPr>
            <w:tcW w:type="dxa" w:w="37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Улучшение LAB на длинных задачах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Gross margin</w:t>
            </w:r>
          </w:p>
        </w:tc>
        <w:tc>
          <w:tcPr>
            <w:tcW w:type="dxa" w:w="36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Показывает качество бизнеса</w:t>
            </w:r>
          </w:p>
        </w:tc>
        <w:tc>
          <w:tcPr>
            <w:tcW w:type="dxa" w:w="37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Рост при масштабировании domain/service слоя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Profitability / burn</w:t>
            </w:r>
          </w:p>
        </w:tc>
        <w:tc>
          <w:tcPr>
            <w:tcW w:type="dxa" w:w="36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Показывает устойчивость</w:t>
            </w:r>
          </w:p>
        </w:tc>
        <w:tc>
          <w:tcPr>
            <w:tcW w:type="dxa" w:w="37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$550 млн не превращаются в постоянную зависимость от раундов</w:t>
            </w:r>
          </w:p>
        </w:tc>
      </w:tr>
      <w:tr>
        <w:trPr>
          <w:cantSplit w:val="true"/>
        </w:trPr>
        <w:tc>
          <w:tcPr>
            <w:tcW w:type="dxa" w:w="223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Competition</w:t>
            </w:r>
          </w:p>
        </w:tc>
        <w:tc>
          <w:tcPr>
            <w:tcW w:type="dxa" w:w="36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Проверяет moat</w:t>
            </w:r>
          </w:p>
        </w:tc>
        <w:tc>
          <w:tcPr>
            <w:tcW w:type="dxa" w:w="37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Harvey сохраняет wins против TR/Google/Legora/in-house</w:t>
            </w:r>
          </w:p>
        </w:tc>
      </w:tr>
    </w:tbl>
    <w:p>
      <w:pPr>
        <w:spacing w:after="0"/>
      </w:pPr>
    </w:p>
    <w:p>
      <w:pPr>
        <w:pStyle w:val="Heading1"/>
      </w:pPr>
      <w:r>
        <w:t>11. Что это значит для российского малого бизнеса</w:t>
      </w:r>
    </w:p>
    <w:p>
      <w:r>
        <w:t>Копировать Harvey как юридическую платформу для Big Law бессмысленно. Переносимая часть — метод: узкая профессия, один дорогой workflow, локальные данные и правила, проверяемое качество, интеграции и human-in-the-loop. Российский малый B2B может начинать с гораздо меньшего масштаба и продавать не «ИИ», а сокращённый цикл конкретной работы.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Выберите процесс, где ошибка имеет цену, а результат можно проверить чек-листом.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Сделайте domain eval раньше красивого интерфейса.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Начните с 5 design partners и concierge-MVP, а не с универсальной платформы.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Храните сценарные unit economics отдельно от «истории Harvey»: российские цены, налоги, модели и инфраструктура другие.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Для договоров, персональных и конфиденциальных данных заранее проектируйте безопасный контур и правила human review.</w:t>
      </w:r>
    </w:p>
    <w:p>
      <w:pPr>
        <w:pStyle w:val="Heading1"/>
      </w:pPr>
      <w:r>
        <w:t>Источники и дата фактчека</w:t>
      </w:r>
    </w:p>
    <w:p>
      <w:r>
        <w:rPr>
          <w:b/>
        </w:rPr>
        <w:t xml:space="preserve">Фактчек: 11.09.2026. </w:t>
      </w:r>
      <w:r>
        <w:t>Цифры Harvey разделены на заявления компании, независимые сообщения и расчётные производные. Непубличные метрики не реконструируются как факт.</w:t>
      </w:r>
    </w:p>
    <w:p>
      <w:pPr>
        <w:pStyle w:val="ListBullet"/>
        <w:spacing w:after="40"/>
      </w:pPr>
      <w:hyperlink r:id="rId10">
        <w:r>
          <w:rPr>
            <w:color w:val="0E7490"/>
            <w:u w:val="single"/>
            <w:rFonts w:ascii="Arial" w:hAnsi="Arial" w:eastAsia="Arial"/>
            <w:sz w:val="19"/>
          </w:rPr>
          <w:t>Harvey — $550 млн при оценке $15,5 млрд (09.09.2026)</w:t>
        </w:r>
      </w:hyperlink>
    </w:p>
    <w:p>
      <w:pPr>
        <w:pStyle w:val="ListBullet"/>
        <w:spacing w:after="40"/>
      </w:pPr>
      <w:hyperlink r:id="rId11">
        <w:r>
          <w:rPr>
            <w:color w:val="0E7490"/>
            <w:u w:val="single"/>
            <w:rFonts w:ascii="Arial" w:hAnsi="Arial" w:eastAsia="Arial"/>
            <w:sz w:val="19"/>
          </w:rPr>
          <w:t>Reuters — независимое подтверждение последнего раунда</w:t>
        </w:r>
      </w:hyperlink>
    </w:p>
    <w:p>
      <w:pPr>
        <w:pStyle w:val="ListBullet"/>
        <w:spacing w:after="40"/>
      </w:pPr>
      <w:hyperlink r:id="rId12">
        <w:r>
          <w:rPr>
            <w:color w:val="0E7490"/>
            <w:u w:val="single"/>
            <w:rFonts w:ascii="Arial" w:hAnsi="Arial" w:eastAsia="Arial"/>
            <w:sz w:val="19"/>
          </w:rPr>
          <w:t>Harvey — текущая платформа и масштаб использования</w:t>
        </w:r>
      </w:hyperlink>
    </w:p>
    <w:p>
      <w:pPr>
        <w:pStyle w:val="ListBullet"/>
        <w:spacing w:after="40"/>
      </w:pPr>
      <w:hyperlink r:id="rId13">
        <w:r>
          <w:rPr>
            <w:color w:val="0E7490"/>
            <w:u w:val="single"/>
            <w:rFonts w:ascii="Arial" w:hAnsi="Arial" w:eastAsia="Arial"/>
            <w:sz w:val="19"/>
          </w:rPr>
          <w:t>Harvey — Three Year Anniversary: &gt;$100 млн ARR в августе 2025</w:t>
        </w:r>
      </w:hyperlink>
    </w:p>
    <w:p>
      <w:pPr>
        <w:pStyle w:val="ListBullet"/>
        <w:spacing w:after="40"/>
      </w:pPr>
      <w:hyperlink r:id="rId14">
        <w:r>
          <w:rPr>
            <w:color w:val="0E7490"/>
            <w:u w:val="single"/>
            <w:rFonts w:ascii="Arial" w:hAnsi="Arial" w:eastAsia="Arial"/>
            <w:sz w:val="19"/>
          </w:rPr>
          <w:t>The Times — около $350 млн ARR, ~1 200 сотрудников, компания не прибыльна</w:t>
        </w:r>
      </w:hyperlink>
    </w:p>
    <w:p>
      <w:pPr>
        <w:pStyle w:val="ListBullet"/>
        <w:spacing w:after="40"/>
      </w:pPr>
      <w:hyperlink r:id="rId15">
        <w:r>
          <w:rPr>
            <w:color w:val="0E7490"/>
            <w:u w:val="single"/>
            <w:rFonts w:ascii="Arial" w:hAnsi="Arial" w:eastAsia="Arial"/>
            <w:sz w:val="19"/>
          </w:rPr>
          <w:t>Harvey — раунд $200 млн при оценке $11 млрд (25.03.2026)</w:t>
        </w:r>
      </w:hyperlink>
    </w:p>
    <w:p>
      <w:pPr>
        <w:pStyle w:val="ListBullet"/>
        <w:spacing w:after="40"/>
      </w:pPr>
      <w:hyperlink r:id="rId16">
        <w:r>
          <w:rPr>
            <w:color w:val="0E7490"/>
            <w:u w:val="single"/>
            <w:rFonts w:ascii="Arial" w:hAnsi="Arial" w:eastAsia="Arial"/>
            <w:sz w:val="19"/>
          </w:rPr>
          <w:t>Harvey — $160 млн при оценке $8 млрд (04.12.2025)</w:t>
        </w:r>
      </w:hyperlink>
    </w:p>
    <w:p>
      <w:pPr>
        <w:pStyle w:val="ListBullet"/>
        <w:spacing w:after="40"/>
      </w:pPr>
      <w:hyperlink r:id="rId17">
        <w:r>
          <w:rPr>
            <w:color w:val="0E7490"/>
            <w:u w:val="single"/>
            <w:rFonts w:ascii="Arial" w:hAnsi="Arial" w:eastAsia="Arial"/>
            <w:sz w:val="19"/>
          </w:rPr>
          <w:t>Harvey — Series E: $300 млн при оценке $5 млрд</w:t>
        </w:r>
      </w:hyperlink>
    </w:p>
    <w:p>
      <w:pPr>
        <w:pStyle w:val="ListBullet"/>
        <w:spacing w:after="40"/>
      </w:pPr>
      <w:hyperlink r:id="rId18">
        <w:r>
          <w:rPr>
            <w:color w:val="0E7490"/>
            <w:u w:val="single"/>
            <w:rFonts w:ascii="Arial" w:hAnsi="Arial" w:eastAsia="Arial"/>
            <w:sz w:val="19"/>
          </w:rPr>
          <w:t>Harvey — Series D: $300 млн при оценке $3 млрд</w:t>
        </w:r>
      </w:hyperlink>
    </w:p>
    <w:p>
      <w:pPr>
        <w:pStyle w:val="ListBullet"/>
        <w:spacing w:after="40"/>
      </w:pPr>
      <w:hyperlink r:id="rId19">
        <w:r>
          <w:rPr>
            <w:color w:val="0E7490"/>
            <w:u w:val="single"/>
            <w:rFonts w:ascii="Arial" w:hAnsi="Arial" w:eastAsia="Arial"/>
            <w:sz w:val="19"/>
          </w:rPr>
          <w:t>Harvey — Series C: $100 млн при оценке $1,5 млрд</w:t>
        </w:r>
      </w:hyperlink>
    </w:p>
    <w:p>
      <w:pPr>
        <w:pStyle w:val="ListBullet"/>
        <w:spacing w:after="40"/>
      </w:pPr>
      <w:hyperlink r:id="rId20">
        <w:r>
          <w:rPr>
            <w:color w:val="0E7490"/>
            <w:u w:val="single"/>
            <w:rFonts w:ascii="Arial" w:hAnsi="Arial" w:eastAsia="Arial"/>
            <w:sz w:val="19"/>
          </w:rPr>
          <w:t>Harvey — Series B: $80 млн при оценке $715 млн</w:t>
        </w:r>
      </w:hyperlink>
    </w:p>
    <w:p>
      <w:pPr>
        <w:pStyle w:val="ListBullet"/>
        <w:spacing w:after="40"/>
      </w:pPr>
      <w:hyperlink r:id="rId21">
        <w:r>
          <w:rPr>
            <w:color w:val="0E7490"/>
            <w:u w:val="single"/>
            <w:rFonts w:ascii="Arial" w:hAnsi="Arial" w:eastAsia="Arial"/>
            <w:sz w:val="19"/>
          </w:rPr>
          <w:t>Harvey — Series A: $21 млн</w:t>
        </w:r>
      </w:hyperlink>
    </w:p>
    <w:p>
      <w:pPr>
        <w:pStyle w:val="ListBullet"/>
        <w:spacing w:after="40"/>
      </w:pPr>
      <w:hyperlink r:id="rId22">
        <w:r>
          <w:rPr>
            <w:color w:val="0E7490"/>
            <w:u w:val="single"/>
            <w:rFonts w:ascii="Arial" w:hAnsi="Arial" w:eastAsia="Arial"/>
            <w:sz w:val="19"/>
          </w:rPr>
          <w:t>TechCrunch — seed $5 млн от OpenAI Startup Fund</w:t>
        </w:r>
      </w:hyperlink>
    </w:p>
    <w:p>
      <w:pPr>
        <w:pStyle w:val="ListBullet"/>
        <w:spacing w:after="40"/>
      </w:pPr>
      <w:hyperlink r:id="rId23">
        <w:r>
          <w:rPr>
            <w:color w:val="0E7490"/>
            <w:u w:val="single"/>
            <w:rFonts w:ascii="Arial" w:hAnsi="Arial" w:eastAsia="Arial"/>
            <w:sz w:val="19"/>
          </w:rPr>
          <w:t>Harvey LAB — Legal Agent Benchmark</w:t>
        </w:r>
      </w:hyperlink>
    </w:p>
    <w:p>
      <w:pPr>
        <w:pStyle w:val="ListBullet"/>
        <w:spacing w:after="40"/>
      </w:pPr>
      <w:hyperlink r:id="rId24">
        <w:r>
          <w:rPr>
            <w:color w:val="0E7490"/>
            <w:u w:val="single"/>
            <w:rFonts w:ascii="Arial" w:hAnsi="Arial" w:eastAsia="Arial"/>
            <w:sz w:val="19"/>
          </w:rPr>
          <w:t>Harvey — initial LAB results</w:t>
        </w:r>
      </w:hyperlink>
    </w:p>
    <w:p>
      <w:pPr>
        <w:pStyle w:val="ListBullet"/>
        <w:spacing w:after="40"/>
      </w:pPr>
      <w:hyperlink r:id="rId25">
        <w:r>
          <w:rPr>
            <w:color w:val="0E7490"/>
            <w:u w:val="single"/>
            <w:rFonts w:ascii="Arial" w:hAnsi="Arial" w:eastAsia="Arial"/>
            <w:sz w:val="19"/>
          </w:rPr>
          <w:t>Thomson Reuters — CoCounsel Legal, август 2026</w:t>
        </w:r>
      </w:hyperlink>
    </w:p>
    <w:p>
      <w:pPr>
        <w:pStyle w:val="ListBullet"/>
        <w:spacing w:after="40"/>
      </w:pPr>
      <w:hyperlink r:id="rId26">
        <w:r>
          <w:rPr>
            <w:color w:val="0E7490"/>
            <w:u w:val="single"/>
            <w:rFonts w:ascii="Arial" w:hAnsi="Arial" w:eastAsia="Arial"/>
            <w:sz w:val="19"/>
          </w:rPr>
          <w:t>Google Cloud — Gemini Enterprise for Legal, август 2026</w:t>
        </w:r>
      </w:hyperlink>
    </w:p>
    <w:p>
      <w:pPr>
        <w:pStyle w:val="ListBullet"/>
        <w:spacing w:after="40"/>
      </w:pPr>
      <w:hyperlink r:id="rId27">
        <w:r>
          <w:rPr>
            <w:color w:val="0E7490"/>
            <w:u w:val="single"/>
            <w:rFonts w:ascii="Arial" w:hAnsi="Arial" w:eastAsia="Arial"/>
            <w:sz w:val="19"/>
          </w:rPr>
          <w:t>TechCrunch — Legora: &gt;$100 млн ARR, оценка $5,6 млрд</w:t>
        </w:r>
      </w:hyperlink>
    </w:p>
    <w:sectPr w:rsidR="00FC693F" w:rsidRPr="0006063C" w:rsidSect="00034616">
      <w:footerReference w:type="default" r:id="rId9"/>
      <w:pgSz w:w="12240" w:h="15840"/>
      <w:pgMar w:top="893" w:right="1008" w:bottom="893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27D98"/>
        <w:sz w:val="16"/>
      </w:rPr>
      <w:t>Бизнес под микроскопом · рабочий материал · досье стартапа · 11.09.2026</w:t>
    </w:r>
    <w:r>
      <w:t xml:space="preserve">     </w:t>
    </w:r>
    <w:r>
      <w:t xml:space="preserve">Стр.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E749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243B5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2A4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ubric">
    <w:name w:val="Rubric"/>
    <w:pPr>
      <w:spacing w:after="100"/>
    </w:pPr>
    <w:rPr>
      <w:rFonts w:ascii="Arial" w:hAnsi="Arial"/>
      <w:b/>
      <w:color w:val="0E749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harvey.ai/blog/harvey-raises-dollar550m-at-a-dollar155b-valuation-to-help-legal-teams-own-their-intelligence" TargetMode="External"/><Relationship Id="rId11" Type="http://schemas.openxmlformats.org/officeDocument/2006/relationships/hyperlink" Target="https://www.reuters.com/legal/government/legal-ai-startup-harvey-reaches-155-billion-valuation-new-funding-round-2026-09-09/" TargetMode="External"/><Relationship Id="rId12" Type="http://schemas.openxmlformats.org/officeDocument/2006/relationships/hyperlink" Target="https://www.harvey.ai/" TargetMode="External"/><Relationship Id="rId13" Type="http://schemas.openxmlformats.org/officeDocument/2006/relationships/hyperlink" Target="https://www.harvey.ai/blog/harveys-three-year-anniversary" TargetMode="External"/><Relationship Id="rId14" Type="http://schemas.openxmlformats.org/officeDocument/2006/relationships/hyperlink" Target="https://www.thetimes.com/business/technology/article/harvey-founder-ai-law-interview-winston-weinberg-whpsrxxzn" TargetMode="External"/><Relationship Id="rId15" Type="http://schemas.openxmlformats.org/officeDocument/2006/relationships/hyperlink" Target="https://www.harvey.ai/blog/harvey-raises-growth-round-at-dollar11-billion-valuation-co-led-by-gic-and-sequoia" TargetMode="External"/><Relationship Id="rId16" Type="http://schemas.openxmlformats.org/officeDocument/2006/relationships/hyperlink" Target="https://www.harvey.ai/blog/andreessen-horowitz-leads-dollar160m-investment-in-harvey" TargetMode="External"/><Relationship Id="rId17" Type="http://schemas.openxmlformats.org/officeDocument/2006/relationships/hyperlink" Target="https://www.harvey.ai/blog/harvey-raises-series-e" TargetMode="External"/><Relationship Id="rId18" Type="http://schemas.openxmlformats.org/officeDocument/2006/relationships/hyperlink" Target="https://www.harvey.ai/blog/harvey-raises-series-d" TargetMode="External"/><Relationship Id="rId19" Type="http://schemas.openxmlformats.org/officeDocument/2006/relationships/hyperlink" Target="https://www.harvey.ai/blog/harvey-raises-series-c" TargetMode="External"/><Relationship Id="rId20" Type="http://schemas.openxmlformats.org/officeDocument/2006/relationships/hyperlink" Target="https://www.harvey.ai/blog/series-b" TargetMode="External"/><Relationship Id="rId21" Type="http://schemas.openxmlformats.org/officeDocument/2006/relationships/hyperlink" Target="https://www.harvey.ai/blog/sequoia-and-openai-back-harvey-to-redefine-professional-services-starting-with-le" TargetMode="External"/><Relationship Id="rId22" Type="http://schemas.openxmlformats.org/officeDocument/2006/relationships/hyperlink" Target="https://techcrunch.com/2022/11/23/harvey-which-uses-ai-to-answer-legal-questions-lands-cash-from-openai/" TargetMode="External"/><Relationship Id="rId23" Type="http://schemas.openxmlformats.org/officeDocument/2006/relationships/hyperlink" Target="https://www.harvey.ai/blog/introducing-harveys-legal-agent-benchmark" TargetMode="External"/><Relationship Id="rId24" Type="http://schemas.openxmlformats.org/officeDocument/2006/relationships/hyperlink" Target="https://www.harvey.ai/blog/legal-agent-benchmark-initial-results" TargetMode="External"/><Relationship Id="rId25" Type="http://schemas.openxmlformats.org/officeDocument/2006/relationships/hyperlink" Target="https://www.thomsonreuters.com/en/press-releases/2026/august/thomson-reuters-launches-next-generation-of-cocounsel-legal-the-ai-ecosystem-built-for-legal-professionals" TargetMode="External"/><Relationship Id="rId26" Type="http://schemas.openxmlformats.org/officeDocument/2006/relationships/hyperlink" Target="https://cloud.google.com/blog/products/ai-machine-learning/introducing-gemini-enterprise-for-legal" TargetMode="External"/><Relationship Id="rId27" Type="http://schemas.openxmlformats.org/officeDocument/2006/relationships/hyperlink" Target="https://techcrunch.com/2026/04/30/legal-ai-startup-legora-hits-5-6-valuation-and-its-battle-with-harvey-just-got-hot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