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Rubric"/>
      </w:pPr>
      <w:r>
        <w:t>СТАРТАПЫ · TOOLKIT</w:t>
      </w:r>
    </w:p>
    <w:p>
      <w:pPr>
        <w:pStyle w:val="Title"/>
      </w:pPr>
      <w:r>
        <w:t>Карта гипотез, экспериментов и gates для vertical AI</w:t>
      </w:r>
    </w:p>
    <w:p>
      <w:pPr>
        <w:spacing w:after="200"/>
      </w:pPr>
      <w:r>
        <w:rPr>
          <w:i/>
          <w:color w:val="627D98"/>
          <w:sz w:val="22"/>
        </w:rPr>
        <w:t>Рабочий инструмент для проверки отраслевого ИИ-продукта до масштабной разработки.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tblHeader w:val="true"/>
          <w:cantSplit w:val="true"/>
        </w:trPr>
        <w:tc>
          <w:tcPr>
            <w:tcW w:type="dxa" w:w="10224"/>
            <w:shd w:fill="EAF4F6"/>
            <w:tcBorders>
              <w:top w:val="single" w:sz="4" w:color="D9E2EC"/>
              <w:left w:val="single" w:sz="14" w:color="0E7490"/>
              <w:bottom w:val="single" w:sz="4" w:color="D9E2EC"/>
              <w:right w:val="single" w:sz="4" w:color="D9E2EC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color w:val="0E7490"/>
                <w:sz w:val="22"/>
              </w:rPr>
              <w:t>Принцип</w:t>
            </w:r>
          </w:p>
          <w:p>
            <w:pPr>
              <w:spacing w:after="20" w:line="259" w:lineRule="auto"/>
            </w:pPr>
            <w:r>
              <w:rPr>
                <w:rFonts w:ascii="Arial" w:hAnsi="Arial"/>
                <w:color w:val="243B53"/>
                <w:sz w:val="20"/>
              </w:rPr>
              <w:t>Не проверяйте гипотезу «людям нужен ИИ». Проверяйте конкретный workflow, конкретного покупателя, измеримое улучшение результата и экономику после model/integration/support costs.</w:t>
            </w:r>
          </w:p>
        </w:tc>
      </w:tr>
    </w:tbl>
    <w:p>
      <w:pPr>
        <w:spacing w:after="0"/>
      </w:pPr>
    </w:p>
    <w:p>
      <w:pPr>
        <w:pStyle w:val="Heading1"/>
      </w:pPr>
      <w:r>
        <w:t>1. Карта гипотез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  <w:cantSplit w:val="true"/>
        </w:trPr>
        <w:tc>
          <w:tcPr>
            <w:tcW w:type="dxa" w:w="1728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Гипотеза</w:t>
            </w:r>
          </w:p>
        </w:tc>
        <w:tc>
          <w:tcPr>
            <w:tcW w:type="dxa" w:w="3312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Что должно быть правдой</w:t>
            </w:r>
          </w:p>
        </w:tc>
        <w:tc>
          <w:tcPr>
            <w:tcW w:type="dxa" w:w="2880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Эксперимент</w:t>
            </w:r>
          </w:p>
        </w:tc>
        <w:tc>
          <w:tcPr>
            <w:tcW w:type="dxa" w:w="2304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Stop-сигнал</w:t>
            </w:r>
          </w:p>
        </w:tc>
      </w:tr>
      <w:tr>
        <w:trPr>
          <w:cantSplit w:val="true"/>
        </w:trPr>
        <w:tc>
          <w:tcPr>
            <w:tcW w:type="dxa" w:w="17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Pain</w:t>
            </w:r>
          </w:p>
        </w:tc>
        <w:tc>
          <w:tcPr>
            <w:tcW w:type="dxa" w:w="33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У специалиста есть повторяемая дорогая операция ≥ несколько раз в неделю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Интервью + shadowing + журнал 10 задач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Проблема редкая или не болезненная</w:t>
            </w:r>
          </w:p>
        </w:tc>
      </w:tr>
      <w:tr>
        <w:trPr>
          <w:cantSplit w:val="true"/>
        </w:trPr>
        <w:tc>
          <w:tcPr>
            <w:tcW w:type="dxa" w:w="17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Buyer</w:t>
            </w:r>
          </w:p>
        </w:tc>
        <w:tc>
          <w:tcPr>
            <w:tcW w:type="dxa" w:w="33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Есть ЛПР с бюджетом, для которого экономия ощутима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5–10 интервью с ЛПР, pricing conversation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Пользователь любит продукт, но никто не платит</w:t>
            </w:r>
          </w:p>
        </w:tc>
      </w:tr>
      <w:tr>
        <w:trPr>
          <w:cantSplit w:val="true"/>
        </w:trPr>
        <w:tc>
          <w:tcPr>
            <w:tcW w:type="dxa" w:w="17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Workflow</w:t>
            </w:r>
          </w:p>
        </w:tc>
        <w:tc>
          <w:tcPr>
            <w:tcW w:type="dxa" w:w="33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Задачу можно разложить на входы → шаги → проверяемый выход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Workflow map 20–30 реальных кейсов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Каждый кейс уникален и не формализуется</w:t>
            </w:r>
          </w:p>
        </w:tc>
      </w:tr>
      <w:tr>
        <w:trPr>
          <w:cantSplit w:val="true"/>
        </w:trPr>
        <w:tc>
          <w:tcPr>
            <w:tcW w:type="dxa" w:w="17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Data</w:t>
            </w:r>
          </w:p>
        </w:tc>
        <w:tc>
          <w:tcPr>
            <w:tcW w:type="dxa" w:w="33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Есть легальный/доступный набор документов, правил, шаблонов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Data audit + source map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Критичные данные недоступны/неподъёмны по лицензии</w:t>
            </w:r>
          </w:p>
        </w:tc>
      </w:tr>
      <w:tr>
        <w:trPr>
          <w:cantSplit w:val="true"/>
        </w:trPr>
        <w:tc>
          <w:tcPr>
            <w:tcW w:type="dxa" w:w="17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Quality</w:t>
            </w:r>
          </w:p>
        </w:tc>
        <w:tc>
          <w:tcPr>
            <w:tcW w:type="dxa" w:w="33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Результат можно оценивать экспертной рубрикой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Eval set + blind review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Нет способа отличить хороший ответ от уверенного шума</w:t>
            </w:r>
          </w:p>
        </w:tc>
      </w:tr>
      <w:tr>
        <w:trPr>
          <w:cantSplit w:val="true"/>
        </w:trPr>
        <w:tc>
          <w:tcPr>
            <w:tcW w:type="dxa" w:w="17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Trust</w:t>
            </w:r>
          </w:p>
        </w:tc>
        <w:tc>
          <w:tcPr>
            <w:tcW w:type="dxa" w:w="33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Human review помещается в SLA и экономику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Concierge pilot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Review съедает всю экономию времени</w:t>
            </w:r>
          </w:p>
        </w:tc>
      </w:tr>
      <w:tr>
        <w:trPr>
          <w:cantSplit w:val="true"/>
        </w:trPr>
        <w:tc>
          <w:tcPr>
            <w:tcW w:type="dxa" w:w="17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Integration</w:t>
            </w:r>
          </w:p>
        </w:tc>
        <w:tc>
          <w:tcPr>
            <w:tcW w:type="dxa" w:w="33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Продукт можно встроить в привычную систему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Прототип 1 ключевой интеграции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Пользователь вынужден копировать всё вручную</w:t>
            </w:r>
          </w:p>
        </w:tc>
      </w:tr>
      <w:tr>
        <w:trPr>
          <w:cantSplit w:val="true"/>
        </w:trPr>
        <w:tc>
          <w:tcPr>
            <w:tcW w:type="dxa" w:w="17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Monetization</w:t>
            </w:r>
          </w:p>
        </w:tc>
        <w:tc>
          <w:tcPr>
            <w:tcW w:type="dxa" w:w="33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Клиент платит за outcome/time saved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Paid pilot offer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Интерес есть только бесплатно</w:t>
            </w:r>
          </w:p>
        </w:tc>
      </w:tr>
      <w:tr>
        <w:trPr>
          <w:cantSplit w:val="true"/>
        </w:trPr>
        <w:tc>
          <w:tcPr>
            <w:tcW w:type="dxa" w:w="17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Unit economics</w:t>
            </w:r>
          </w:p>
        </w:tc>
        <w:tc>
          <w:tcPr>
            <w:tcW w:type="dxa" w:w="33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Variable costs позволяют ≥60% gross margin как целевой gate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Cost log на 30 дней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Inference/support делает SaaS отрицательным</w:t>
            </w:r>
          </w:p>
        </w:tc>
      </w:tr>
      <w:tr>
        <w:trPr>
          <w:cantSplit w:val="true"/>
        </w:trPr>
        <w:tc>
          <w:tcPr>
            <w:tcW w:type="dxa" w:w="17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Defensibility</w:t>
            </w:r>
          </w:p>
        </w:tc>
        <w:tc>
          <w:tcPr>
            <w:tcW w:type="dxa" w:w="331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Есть слой, который улучшается с использованием</w:t>
            </w:r>
          </w:p>
        </w:tc>
        <w:tc>
          <w:tcPr>
            <w:tcW w:type="dxa" w:w="288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Data/eval/workflow flywheel map</w:t>
            </w:r>
          </w:p>
        </w:tc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Продукт легко заменить промптом в общем чате</w:t>
            </w:r>
          </w:p>
        </w:tc>
      </w:tr>
    </w:tbl>
    <w:p>
      <w:pPr>
        <w:spacing w:after="0"/>
      </w:pPr>
    </w:p>
    <w:p>
      <w:pPr>
        <w:pStyle w:val="Heading1"/>
      </w:pPr>
      <w:r>
        <w:t>2. Карточки экспериментов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  <w:cantSplit w:val="true"/>
        </w:trPr>
        <w:tc>
          <w:tcPr>
            <w:tcW w:type="dxa" w:w="2088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Эксперимент</w:t>
            </w:r>
          </w:p>
        </w:tc>
        <w:tc>
          <w:tcPr>
            <w:tcW w:type="dxa" w:w="1800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Выборка</w:t>
            </w:r>
          </w:p>
        </w:tc>
        <w:tc>
          <w:tcPr>
            <w:tcW w:type="dxa" w:w="3528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Что измеряем</w:t>
            </w:r>
          </w:p>
        </w:tc>
        <w:tc>
          <w:tcPr>
            <w:tcW w:type="dxa" w:w="3024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Gate</w:t>
            </w:r>
          </w:p>
        </w:tc>
      </w:tr>
      <w:tr>
        <w:trPr>
          <w:cantSplit w:val="true"/>
        </w:trPr>
        <w:tc>
          <w:tcPr>
            <w:tcW w:type="dxa" w:w="20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E1. Problem interview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10–15 специалистов одной роли</w:t>
            </w:r>
          </w:p>
        </w:tc>
        <w:tc>
          <w:tcPr>
            <w:tcW w:type="dxa" w:w="35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Боль, частота, текущий процесс, стоимость ошибки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≥70% подтверждают один и тот же top-3 pain</w:t>
            </w:r>
          </w:p>
        </w:tc>
      </w:tr>
      <w:tr>
        <w:trPr>
          <w:cantSplit w:val="true"/>
        </w:trPr>
        <w:tc>
          <w:tcPr>
            <w:tcW w:type="dxa" w:w="20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E2. Workflow shadowing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5 реальных кейсов у 3 клиентов</w:t>
            </w:r>
          </w:p>
        </w:tc>
        <w:tc>
          <w:tcPr>
            <w:tcW w:type="dxa" w:w="35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Реальные входы, шаги, handoffs, исключения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Есть стабильный основной путь</w:t>
            </w:r>
          </w:p>
        </w:tc>
      </w:tr>
      <w:tr>
        <w:trPr>
          <w:cantSplit w:val="true"/>
        </w:trPr>
        <w:tc>
          <w:tcPr>
            <w:tcW w:type="dxa" w:w="20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E3. Baseline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20–30 задач</w:t>
            </w:r>
          </w:p>
        </w:tc>
        <w:tc>
          <w:tcPr>
            <w:tcW w:type="dxa" w:w="35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Время, число итераций, критические ошибки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Есть измеримая исходная линия</w:t>
            </w:r>
          </w:p>
        </w:tc>
      </w:tr>
      <w:tr>
        <w:trPr>
          <w:cantSplit w:val="true"/>
        </w:trPr>
        <w:tc>
          <w:tcPr>
            <w:tcW w:type="dxa" w:w="20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E4. Eval set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30–50 обезличенных кейсов</w:t>
            </w:r>
          </w:p>
        </w:tc>
        <w:tc>
          <w:tcPr>
            <w:tcW w:type="dxa" w:w="35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Экспертные критерии pass/fail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Можно посчитать critical miss rate</w:t>
            </w:r>
          </w:p>
        </w:tc>
      </w:tr>
      <w:tr>
        <w:trPr>
          <w:cantSplit w:val="true"/>
        </w:trPr>
        <w:tc>
          <w:tcPr>
            <w:tcW w:type="dxa" w:w="20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E5. Concierge MVP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5 design partners</w:t>
            </w:r>
          </w:p>
        </w:tc>
        <w:tc>
          <w:tcPr>
            <w:tcW w:type="dxa" w:w="35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Решение задачи вручную + ИИ под капотом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Экономия времени ≥30%</w:t>
            </w:r>
          </w:p>
        </w:tc>
      </w:tr>
      <w:tr>
        <w:trPr>
          <w:cantSplit w:val="true"/>
        </w:trPr>
        <w:tc>
          <w:tcPr>
            <w:tcW w:type="dxa" w:w="20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E6. Pricing test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3 варианта оффера</w:t>
            </w:r>
          </w:p>
        </w:tc>
        <w:tc>
          <w:tcPr>
            <w:tcW w:type="dxa" w:w="35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Готовность платить за outcome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≥30% design partners готовы в paid pilot</w:t>
            </w:r>
          </w:p>
        </w:tc>
      </w:tr>
      <w:tr>
        <w:trPr>
          <w:cantSplit w:val="true"/>
        </w:trPr>
        <w:tc>
          <w:tcPr>
            <w:tcW w:type="dxa" w:w="20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E7. Integration prototype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1 ключевая система</w:t>
            </w:r>
          </w:p>
        </w:tc>
        <w:tc>
          <w:tcPr>
            <w:tcW w:type="dxa" w:w="35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Friction импорта/экспорта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Интеграция снижает ручной ввод</w:t>
            </w:r>
          </w:p>
        </w:tc>
      </w:tr>
      <w:tr>
        <w:trPr>
          <w:cantSplit w:val="true"/>
        </w:trPr>
        <w:tc>
          <w:tcPr>
            <w:tcW w:type="dxa" w:w="20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E8. Security review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Минимальный data-flow</w:t>
            </w:r>
          </w:p>
        </w:tc>
        <w:tc>
          <w:tcPr>
            <w:tcW w:type="dxa" w:w="35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Где хранятся документы, кто видит, retention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Нет критического blocker</w:t>
            </w:r>
          </w:p>
        </w:tc>
      </w:tr>
      <w:tr>
        <w:trPr>
          <w:cantSplit w:val="true"/>
        </w:trPr>
        <w:tc>
          <w:tcPr>
            <w:tcW w:type="dxa" w:w="208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E9. Cost log</w:t>
            </w:r>
          </w:p>
        </w:tc>
        <w:tc>
          <w:tcPr>
            <w:tcW w:type="dxa" w:w="1800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Все модельные вызовы + support</w:t>
            </w:r>
          </w:p>
        </w:tc>
        <w:tc>
          <w:tcPr>
            <w:tcW w:type="dxa" w:w="3528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Variable cost / account / workflow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7"/>
              </w:rPr>
              <w:t>Gross margin path ≥60%</w:t>
            </w:r>
          </w:p>
        </w:tc>
      </w:tr>
    </w:tbl>
    <w:p>
      <w:pPr>
        <w:spacing w:after="0"/>
      </w:pPr>
    </w:p>
    <w:p>
      <w:pPr>
        <w:pStyle w:val="Heading1"/>
      </w:pPr>
      <w:r>
        <w:t>3. Decision gates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  <w:cantSplit w:val="true"/>
        </w:trPr>
        <w:tc>
          <w:tcPr>
            <w:tcW w:type="dxa" w:w="2304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Метрика</w:t>
            </w:r>
          </w:p>
        </w:tc>
        <w:tc>
          <w:tcPr>
            <w:tcW w:type="dxa" w:w="2592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Продолжать</w:t>
            </w:r>
          </w:p>
        </w:tc>
        <w:tc>
          <w:tcPr>
            <w:tcW w:type="dxa" w:w="2592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Пересчитать</w:t>
            </w:r>
          </w:p>
        </w:tc>
        <w:tc>
          <w:tcPr>
            <w:tcW w:type="dxa" w:w="2592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Остановить</w:t>
            </w:r>
          </w:p>
        </w:tc>
      </w:tr>
      <w:tr>
        <w:trPr>
          <w:cantSplit w:val="true"/>
        </w:trPr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Экономия времени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≥30%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15–29%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&lt;15% или review дольше baseline</w:t>
            </w:r>
          </w:p>
        </w:tc>
      </w:tr>
      <w:tr>
        <w:trPr>
          <w:cantSplit w:val="true"/>
        </w:trPr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Критические ошибки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≤20% задач требуют критической правки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21–35%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&gt;35% и нет понятного fix path</w:t>
            </w:r>
          </w:p>
        </w:tc>
      </w:tr>
      <w:tr>
        <w:trPr>
          <w:cantSplit w:val="true"/>
        </w:trPr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Design partner → paid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≥30%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10–29%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0% после pricing iteration</w:t>
            </w:r>
          </w:p>
        </w:tc>
      </w:tr>
      <w:tr>
        <w:trPr>
          <w:cantSplit w:val="true"/>
        </w:trPr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Gross margin path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≥60%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40–59%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&lt;40% при реалистичном scale</w:t>
            </w:r>
          </w:p>
        </w:tc>
      </w:tr>
      <w:tr>
        <w:trPr>
          <w:cantSplit w:val="true"/>
        </w:trPr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Repeat usage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≥60% пилотных пользователей возвращаются еженедельно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30–59%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&lt;30%</w:t>
            </w:r>
          </w:p>
        </w:tc>
      </w:tr>
      <w:tr>
        <w:trPr>
          <w:cantSplit w:val="true"/>
        </w:trPr>
        <w:tc>
          <w:tcPr>
            <w:tcW w:type="dxa" w:w="230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Security/data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Нет blocker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Нужна доработка контура</w:t>
            </w:r>
          </w:p>
        </w:tc>
        <w:tc>
          <w:tcPr>
            <w:tcW w:type="dxa" w:w="259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Невозможно легально/безопасно использовать нужные данные</w:t>
            </w:r>
          </w:p>
        </w:tc>
      </w:tr>
    </w:tbl>
    <w:p>
      <w:pPr>
        <w:spacing w:after="0"/>
      </w:pPr>
    </w:p>
    <w:p>
      <w:r>
        <w:t>Пороги выше — сценарные ориентиры для раннего B2B-pilot, а не отраслевые нормативы. Для high-stakes use case quality gate должен быть строже и определяться domain owner.</w:t>
      </w:r>
    </w:p>
    <w:p>
      <w:pPr>
        <w:pStyle w:val="Heading1"/>
      </w:pPr>
      <w:r>
        <w:t>4. MVP checklist — Definition of Done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Один ICP и одна роль пользователя сформулированы без «для всех компаний».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Один workflow нарисован от входа до reviewable output.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Есть 20–30 реальных обезличенных кейсов и baseline.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Есть экспертная рубрика и список критических ошибок.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Есть human-review step и понятная ответственность.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Есть журнал запросов/ответов/ошибок для eval, без неконтролируемого хранения чувствительных данных.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Есть 5 design partners и согласованный формат пилота.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Есть простая цена paid pilot и объяснение ROI.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Variable costs считаются по каждому клиенту/задаче.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Есть одна нужная интеграция или контролируемый импорт/экспорт.</w:t>
      </w:r>
    </w:p>
    <w:p>
      <w:pPr>
        <w:pStyle w:val="ListBullet"/>
        <w:spacing w:after="60"/>
        <w:ind w:left="259" w:hanging="187"/>
      </w:pPr>
      <w:r>
        <w:rPr>
          <w:rFonts w:ascii="Arial" w:hAnsi="Arial"/>
          <w:color w:val="243B53"/>
          <w:sz w:val="20"/>
        </w:rPr>
        <w:t>Есть stop condition и дата решения: продолжать / пересчитать / остановить.</w:t>
      </w:r>
    </w:p>
    <w:p>
      <w:pPr>
        <w:pStyle w:val="Heading1"/>
      </w:pPr>
      <w:r>
        <w:t>5. Template карты одного workflow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  <w:cantSplit w:val="true"/>
        </w:trPr>
        <w:tc>
          <w:tcPr>
            <w:tcW w:type="dxa" w:w="3456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6624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Заполняется командой</w:t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Название workflow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Пользователь / ЛПР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Триггер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Входные документы/данные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Шаги человека сегодня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Среднее время baseline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Цена ошибки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Ожидаемый AI output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Критерии pass/fail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Что всегда проверяет человек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Интеграции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Data/security ограничения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Цена пилота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456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Gate через 30 дней</w:t>
            </w:r>
          </w:p>
        </w:tc>
        <w:tc>
          <w:tcPr>
            <w:tcW w:type="dxa" w:w="66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6. Рекомендуемый 30-дневный бюджет валидации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  <w:cantSplit w:val="true"/>
        </w:trPr>
        <w:tc>
          <w:tcPr>
            <w:tcW w:type="dxa" w:w="4752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1944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Сценарий, ₽</w:t>
            </w:r>
          </w:p>
        </w:tc>
        <w:tc>
          <w:tcPr>
            <w:tcW w:type="dxa" w:w="3024"/>
            <w:shd w:fill="0E7490"/>
            <w:vAlign w:val="center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Логика</w:t>
            </w:r>
          </w:p>
        </w:tc>
      </w:tr>
      <w:tr>
        <w:trPr>
          <w:cantSplit w:val="true"/>
        </w:trPr>
        <w:tc>
          <w:tcPr>
            <w:tcW w:type="dxa" w:w="475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Domain expert / юрист: 50 ч × 2 500</w:t>
            </w:r>
          </w:p>
        </w:tc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125 000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Workflow, eval, review</w:t>
            </w:r>
          </w:p>
        </w:tc>
      </w:tr>
      <w:tr>
        <w:trPr>
          <w:cantSplit w:val="true"/>
        </w:trPr>
        <w:tc>
          <w:tcPr>
            <w:tcW w:type="dxa" w:w="475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Product/dev: 60 ч × 2 000</w:t>
            </w:r>
          </w:p>
        </w:tc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120 000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MVP, logging, simple integration</w:t>
            </w:r>
          </w:p>
        </w:tc>
      </w:tr>
      <w:tr>
        <w:trPr>
          <w:cantSplit w:val="true"/>
        </w:trPr>
        <w:tc>
          <w:tcPr>
            <w:tcW w:type="dxa" w:w="475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Модели / search / inference</w:t>
            </w:r>
          </w:p>
        </w:tc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25 000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Тест нескольких моделей и eval</w:t>
            </w:r>
          </w:p>
        </w:tc>
      </w:tr>
      <w:tr>
        <w:trPr>
          <w:cantSplit w:val="true"/>
        </w:trPr>
        <w:tc>
          <w:tcPr>
            <w:tcW w:type="dxa" w:w="475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UI / интеграционный слой</w:t>
            </w:r>
          </w:p>
        </w:tc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20 000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Минимальный интерфейс/коннектор</w:t>
            </w:r>
          </w:p>
        </w:tc>
      </w:tr>
      <w:tr>
        <w:trPr>
          <w:cantSplit w:val="true"/>
        </w:trPr>
        <w:tc>
          <w:tcPr>
            <w:tcW w:type="dxa" w:w="475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Recruiting / operations</w:t>
            </w:r>
          </w:p>
        </w:tc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10 000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Design partners, созвоны, материалы</w:t>
            </w:r>
          </w:p>
        </w:tc>
      </w:tr>
      <w:tr>
        <w:trPr>
          <w:cantSplit w:val="true"/>
        </w:trPr>
        <w:tc>
          <w:tcPr>
            <w:tcW w:type="dxa" w:w="475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Резерв</w:t>
            </w:r>
          </w:p>
        </w:tc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20 000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Неожиданные тестовые расходы</w:t>
            </w:r>
          </w:p>
        </w:tc>
      </w:tr>
      <w:tr>
        <w:trPr>
          <w:cantSplit w:val="true"/>
        </w:trPr>
        <w:tc>
          <w:tcPr>
            <w:tcW w:type="dxa" w:w="4752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Итого</w:t>
            </w:r>
          </w:p>
        </w:tc>
        <w:tc>
          <w:tcPr>
            <w:tcW w:type="dxa" w:w="194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320 000</w:t>
            </w:r>
          </w:p>
        </w:tc>
        <w:tc>
          <w:tcPr>
            <w:tcW w:type="dxa" w:w="3024"/>
            <w:vAlign w:val="top"/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</w:tcPr>
          <w:p>
            <w:pPr>
              <w:spacing w:after="30"/>
            </w:pPr>
            <w:r>
              <w:rPr>
                <w:rFonts w:ascii="Arial" w:hAnsi="Arial"/>
                <w:color w:val="243B53"/>
                <w:sz w:val="18"/>
              </w:rPr>
              <w:t>Сценарий, не рыночный норматив</w:t>
            </w:r>
          </w:p>
        </w:tc>
      </w:tr>
    </w:tbl>
    <w:p>
      <w:pPr>
        <w:spacing w:after="0"/>
      </w:pPr>
    </w:p>
    <w:p>
      <w:pPr>
        <w:pStyle w:val="Heading1"/>
      </w:pPr>
      <w:r>
        <w:t>Источники и дата фактчека</w:t>
      </w:r>
    </w:p>
    <w:p>
      <w:r>
        <w:rPr>
          <w:b/>
        </w:rPr>
        <w:t xml:space="preserve">Фактчек: 11.09.2026. </w:t>
      </w:r>
      <w:r>
        <w:t>Цифры Harvey разделены на заявления компании, независимые сообщения и расчётные производные. Непубличные метрики не реконструируются как факт.</w:t>
      </w:r>
    </w:p>
    <w:p>
      <w:pPr>
        <w:pStyle w:val="ListBullet"/>
        <w:spacing w:after="40"/>
      </w:pPr>
      <w:hyperlink r:id="rId10">
        <w:r>
          <w:rPr>
            <w:color w:val="0E7490"/>
            <w:u w:val="single"/>
            <w:rFonts w:ascii="Arial" w:hAnsi="Arial" w:eastAsia="Arial"/>
            <w:sz w:val="19"/>
          </w:rPr>
          <w:t>Harvey — $550 млн при оценке $15,5 млрд (09.09.2026)</w:t>
        </w:r>
      </w:hyperlink>
    </w:p>
    <w:p>
      <w:pPr>
        <w:pStyle w:val="ListBullet"/>
        <w:spacing w:after="40"/>
      </w:pPr>
      <w:hyperlink r:id="rId11">
        <w:r>
          <w:rPr>
            <w:color w:val="0E7490"/>
            <w:u w:val="single"/>
            <w:rFonts w:ascii="Arial" w:hAnsi="Arial" w:eastAsia="Arial"/>
            <w:sz w:val="19"/>
          </w:rPr>
          <w:t>Harvey LAB — Legal Agent Benchmark</w:t>
        </w:r>
      </w:hyperlink>
    </w:p>
    <w:p>
      <w:pPr>
        <w:pStyle w:val="ListBullet"/>
        <w:spacing w:after="40"/>
      </w:pPr>
      <w:hyperlink r:id="rId12">
        <w:r>
          <w:rPr>
            <w:color w:val="0E7490"/>
            <w:u w:val="single"/>
            <w:rFonts w:ascii="Arial" w:hAnsi="Arial" w:eastAsia="Arial"/>
            <w:sz w:val="19"/>
          </w:rPr>
          <w:t>Harvey — initial LAB results</w:t>
        </w:r>
      </w:hyperlink>
    </w:p>
    <w:p>
      <w:pPr>
        <w:pStyle w:val="ListBullet"/>
        <w:spacing w:after="40"/>
      </w:pPr>
      <w:hyperlink r:id="rId13">
        <w:r>
          <w:rPr>
            <w:color w:val="0E7490"/>
            <w:u w:val="single"/>
            <w:rFonts w:ascii="Arial" w:hAnsi="Arial" w:eastAsia="Arial"/>
            <w:sz w:val="19"/>
          </w:rPr>
          <w:t>Thomson Reuters — CoCounsel Legal, август 2026</w:t>
        </w:r>
      </w:hyperlink>
    </w:p>
    <w:p>
      <w:pPr>
        <w:pStyle w:val="ListBullet"/>
        <w:spacing w:after="40"/>
      </w:pPr>
      <w:hyperlink r:id="rId14">
        <w:r>
          <w:rPr>
            <w:color w:val="0E7490"/>
            <w:u w:val="single"/>
            <w:rFonts w:ascii="Arial" w:hAnsi="Arial" w:eastAsia="Arial"/>
            <w:sz w:val="19"/>
          </w:rPr>
          <w:t>Google Cloud — Gemini Enterprise for Legal, август 2026</w:t>
        </w:r>
      </w:hyperlink>
    </w:p>
    <w:sectPr w:rsidR="00FC693F" w:rsidRPr="0006063C" w:rsidSect="00034616">
      <w:footerReference w:type="default" r:id="rId9"/>
      <w:pgSz w:w="12240" w:h="15840"/>
      <w:pgMar w:top="893" w:right="1008" w:bottom="893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27D98"/>
        <w:sz w:val="16"/>
      </w:rPr>
      <w:t>Бизнес под микроскопом · рабочий инструмент · гипотезы и эксперименты · 11.09.2026</w:t>
    </w:r>
    <w:r>
      <w:t xml:space="preserve">     </w:t>
    </w:r>
    <w:r>
      <w:t xml:space="preserve">Стр.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02A4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E749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243B5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02A4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ubric">
    <w:name w:val="Rubric"/>
    <w:pPr>
      <w:spacing w:after="100"/>
    </w:pPr>
    <w:rPr>
      <w:rFonts w:ascii="Arial" w:hAnsi="Arial"/>
      <w:b/>
      <w:color w:val="0E749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harvey.ai/blog/harvey-raises-dollar550m-at-a-dollar155b-valuation-to-help-legal-teams-own-their-intelligence" TargetMode="External"/><Relationship Id="rId11" Type="http://schemas.openxmlformats.org/officeDocument/2006/relationships/hyperlink" Target="https://www.harvey.ai/blog/introducing-harveys-legal-agent-benchmark" TargetMode="External"/><Relationship Id="rId12" Type="http://schemas.openxmlformats.org/officeDocument/2006/relationships/hyperlink" Target="https://www.harvey.ai/blog/legal-agent-benchmark-initial-results" TargetMode="External"/><Relationship Id="rId13" Type="http://schemas.openxmlformats.org/officeDocument/2006/relationships/hyperlink" Target="https://www.thomsonreuters.com/en/press-releases/2026/august/thomson-reuters-launches-next-generation-of-cocounsel-legal-the-ai-ecosystem-built-for-legal-professionals" TargetMode="External"/><Relationship Id="rId14" Type="http://schemas.openxmlformats.org/officeDocument/2006/relationships/hyperlink" Target="https://cloud.google.com/blog/products/ai-machine-learning/introducing-gemini-enterprise-for-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