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B58A3A"/>
          <w:sz w:val="22"/>
        </w:rPr>
        <w:t>БИЗНЕС ПОД МИКРОСКОПОМ</w:t>
      </w:r>
    </w:p>
    <w:p>
      <w:pPr>
        <w:pStyle w:val="Title"/>
        <w:jc w:val="center"/>
      </w:pPr>
      <w:r>
        <w:t>Higgsfield: как AI-видео стало бизнес-инфраструктурой</w:t>
      </w:r>
    </w:p>
    <w:p>
      <w:pPr>
        <w:jc w:val="center"/>
      </w:pPr>
      <w:r>
        <w:rPr>
          <w:color w:val="5B6573"/>
          <w:sz w:val="24"/>
        </w:rPr>
        <w:t>Досье продукта, рынка, механики роста, монетизации, funding и рисков</w:t>
      </w:r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shd w:fill="E8EEF4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b/>
              </w:rPr>
              <w:t>Рубрика</w:t>
            </w:r>
          </w:p>
        </w:tc>
        <w:tc>
          <w:tcPr>
            <w:tcW w:type="dxa" w:w="5083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>Стартапы</w:t>
            </w:r>
          </w:p>
        </w:tc>
      </w:tr>
      <w:tr>
        <w:tc>
          <w:tcPr>
            <w:tcW w:type="dxa" w:w="5083"/>
            <w:shd w:fill="E8EEF4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b/>
              </w:rPr>
              <w:t>Фактчек</w:t>
            </w:r>
          </w:p>
        </w:tc>
        <w:tc>
          <w:tcPr>
            <w:tcW w:type="dxa" w:w="5083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>25 августа 2026</w:t>
            </w:r>
          </w:p>
        </w:tc>
      </w:tr>
      <w:tr>
        <w:tc>
          <w:tcPr>
            <w:tcW w:type="dxa" w:w="5083"/>
            <w:shd w:fill="E8EEF4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b/>
              </w:rPr>
              <w:t>Статус</w:t>
            </w:r>
          </w:p>
        </w:tc>
        <w:tc>
          <w:tcPr>
            <w:tcW w:type="dxa" w:w="5083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>Профессиональный рабочий материал; verified data отделены от company claims и сценариев</w:t>
            </w:r>
          </w:p>
        </w:tc>
      </w:tr>
    </w:tbl>
    <w:p>
      <w:r>
        <w:br w:type="page"/>
      </w:r>
    </w:p>
    <w:p>
      <w:pPr>
        <w:pStyle w:val="Heading1"/>
      </w:pPr>
      <w:r>
        <w:t>1. Резюме для читателя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DCEFE3"/>
            <w:tcMar>
              <w:top w:w="150" w:type="dxa"/>
              <w:start w:w="180" w:type="dxa"/>
              <w:bottom w:w="150" w:type="dxa"/>
              <w:end w:w="180" w:type="dxa"/>
            </w:tcMar>
          </w:tcPr>
          <w:p>
            <w:r>
              <w:rPr>
                <w:b/>
                <w:color w:val="13263A"/>
                <w:sz w:val="22"/>
              </w:rPr>
              <w:t>Главный вывод</w:t>
              <w:br/>
            </w:r>
            <w:r>
              <w:rPr>
                <w:sz w:val="20"/>
              </w:rPr>
              <w:t>Higgsfield интересен не тем, что «умеет генерировать видео». Генерация быстро становится товарной функцией. Сильнее выглядит слой, который компания строит вокруг генерации: управляемый creative workflow, credits как usage currency, shared workspace, enterprise controls, интеграции и выделенная compute-capacity. Риск ровно обратный: модели быстро дешевеют и улучшаются, поэтому ценность должна удерживаться workflow-слоем, distribution и enterprise switching costs.</w:t>
            </w:r>
          </w:p>
        </w:tc>
      </w:tr>
    </w:tbl>
    <w:p/>
    <w:p>
      <w:r>
        <w:t>По состоянию на 17 августа 2026 года Higgsfield объявил Series B на $400 млн при оценке $5,4 млрд. Это примерно в 4,15 раза выше январской оценки $1,3 млрд.</w:t>
      </w:r>
    </w:p>
    <w:p>
      <w:r>
        <w:t>Компания заявила annualized revenue $700 млн и 30 млн пользователей. В январе 2026 года Reuters приводил 15 млн пользователей и $200 млн annualized run rate. Если сопоставлять эти company-reported метрики, пользовательская база примерно удвоилась, а revenue run rate вырос в 3,5 раза.</w:t>
      </w:r>
    </w:p>
    <w:p>
      <w:r>
        <w:t>Эти цифры нельзя читать как аудированную годовую выручку или число платящих клиентов. В публичных источниках нет достаточных данных о gross margin, compute cost, churn, paying conversion, CAC, NRR и фактическом burn.</w:t>
      </w:r>
    </w:p>
    <w:p>
      <w:pPr>
        <w:pStyle w:val="Heading1"/>
      </w:pPr>
      <w:r>
        <w:t>2. Что это за стартап и где у него продукт</w:t>
      </w:r>
    </w:p>
    <w:p>
      <w:r>
        <w:t>Higgsfield был основан Алексом Машрабовым, бывшим руководителем generative AI в Snap, и исследователем Ерзатом Дулатом. В 2024 году компания публично показывала Diffuse как mobile-first продукт для AI-видео. К марту 2025 года, по Reuters, был запущен browser-based end-to-end video creation product. К 2026 году позиционирование сместилось от «создать эффектный ролик» к production-инфраструктуре для creators, маркетинговых команд, агентств и enterprise.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c>
          <w:tcPr>
            <w:tcW w:type="dxa" w:w="1800"/>
            <w:shd w:fill="13263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Слой</w:t>
            </w:r>
          </w:p>
        </w:tc>
        <w:tc>
          <w:tcPr>
            <w:tcW w:type="dxa" w:w="3384"/>
            <w:shd w:fill="13263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Что продаётся</w:t>
            </w:r>
          </w:p>
        </w:tc>
        <w:tc>
          <w:tcPr>
            <w:tcW w:type="dxa" w:w="4968"/>
            <w:shd w:fill="13263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Почему это важно</w:t>
            </w:r>
          </w:p>
        </w:tc>
      </w:tr>
      <w:tr>
        <w:tc>
          <w:tcPr>
            <w:tcW w:type="dxa" w:w="1800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Generation layer</w:t>
            </w:r>
          </w:p>
        </w:tc>
        <w:tc>
          <w:tcPr>
            <w:tcW w:type="dxa" w:w="3384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Доступ к собственным и сторонним image/video/audio моделям</w:t>
            </w:r>
          </w:p>
        </w:tc>
        <w:tc>
          <w:tcPr>
            <w:tcW w:type="dxa" w:w="4968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Быстро даёт качество, но сам по себе легко сравнивается по цене/качеству с конкурентами</w:t>
            </w:r>
          </w:p>
        </w:tc>
      </w:tr>
      <w:tr>
        <w:tc>
          <w:tcPr>
            <w:tcW w:type="dxa" w:w="1800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Creative control</w:t>
            </w:r>
          </w:p>
        </w:tc>
        <w:tc>
          <w:tcPr>
            <w:tcW w:type="dxa" w:w="3384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Camera controls, character consistency, storyboards, presets, Cinema/Marketing Studio</w:t>
            </w:r>
          </w:p>
        </w:tc>
        <w:tc>
          <w:tcPr>
            <w:tcW w:type="dxa" w:w="4968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Сокращает число ручных итераций и превращает модель в инструмент работы</w:t>
            </w:r>
          </w:p>
        </w:tc>
      </w:tr>
      <w:tr>
        <w:tc>
          <w:tcPr>
            <w:tcW w:type="dxa" w:w="1800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Usage economy</w:t>
            </w:r>
          </w:p>
        </w:tc>
        <w:tc>
          <w:tcPr>
            <w:tcW w:type="dxa" w:w="3384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Credits, packs, monthly allowances</w:t>
            </w:r>
          </w:p>
        </w:tc>
        <w:tc>
          <w:tcPr>
            <w:tcW w:type="dxa" w:w="4968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Связывает монетизацию с фактической нагрузкой на compute</w:t>
            </w:r>
          </w:p>
        </w:tc>
      </w:tr>
      <w:tr>
        <w:tc>
          <w:tcPr>
            <w:tcW w:type="dxa" w:w="1800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Team workflow</w:t>
            </w:r>
          </w:p>
        </w:tc>
        <w:tc>
          <w:tcPr>
            <w:tcW w:type="dxa" w:w="3384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Shared assets, pooled credits, parallel generations</w:t>
            </w:r>
          </w:p>
        </w:tc>
        <w:tc>
          <w:tcPr>
            <w:tcW w:type="dxa" w:w="4968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Переход от индивидуального creator к команде</w:t>
            </w:r>
          </w:p>
        </w:tc>
      </w:tr>
      <w:tr>
        <w:tc>
          <w:tcPr>
            <w:tcW w:type="dxa" w:w="1800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Admin &amp; procurement</w:t>
            </w:r>
          </w:p>
        </w:tc>
        <w:tc>
          <w:tcPr>
            <w:tcW w:type="dxa" w:w="3384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SSO, spend controls, usage reports, no-train, indemnification, dedicated capacity</w:t>
            </w:r>
          </w:p>
        </w:tc>
        <w:tc>
          <w:tcPr>
            <w:tcW w:type="dxa" w:w="4968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Позволяет продавать крупным клиентам, для которых «качество картинки» недостаточно</w:t>
            </w:r>
          </w:p>
        </w:tc>
      </w:tr>
      <w:tr>
        <w:tc>
          <w:tcPr>
            <w:tcW w:type="dxa" w:w="1800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Integration layer</w:t>
            </w:r>
          </w:p>
        </w:tc>
        <w:tc>
          <w:tcPr>
            <w:tcW w:type="dxa" w:w="3384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Plugins и developer/agentic interfaces</w:t>
            </w:r>
          </w:p>
        </w:tc>
        <w:tc>
          <w:tcPr>
            <w:tcW w:type="dxa" w:w="4968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Повышает switching cost и встраивает продукт в существующий production stack</w:t>
            </w:r>
          </w:p>
        </w:tc>
      </w:tr>
    </w:tbl>
    <w:p/>
    <w:p>
      <w:pPr>
        <w:pStyle w:val="Heading1"/>
      </w:pPr>
      <w:r>
        <w:t>3. Хронология и подтверждённые сигналы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c>
          <w:tcPr>
            <w:tcW w:type="dxa" w:w="1656"/>
            <w:shd w:fill="13263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Дата</w:t>
            </w:r>
          </w:p>
        </w:tc>
        <w:tc>
          <w:tcPr>
            <w:tcW w:type="dxa" w:w="6336"/>
            <w:shd w:fill="13263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Событие / метрика</w:t>
            </w:r>
          </w:p>
        </w:tc>
        <w:tc>
          <w:tcPr>
            <w:tcW w:type="dxa" w:w="2160"/>
            <w:shd w:fill="13263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Статус</w:t>
            </w:r>
          </w:p>
        </w:tc>
      </w:tr>
      <w:tr>
        <w:tc>
          <w:tcPr>
            <w:tcW w:type="dxa" w:w="165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2023</w:t>
            </w:r>
          </w:p>
        </w:tc>
        <w:tc>
          <w:tcPr>
            <w:tcW w:type="dxa" w:w="633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Основание Higgsfield</w:t>
            </w:r>
          </w:p>
        </w:tc>
        <w:tc>
          <w:tcPr>
            <w:tcW w:type="dxa" w:w="2160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Reuters / TechCrunch</w:t>
            </w:r>
          </w:p>
        </w:tc>
      </w:tr>
      <w:tr>
        <w:tc>
          <w:tcPr>
            <w:tcW w:type="dxa" w:w="165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03.04.2024</w:t>
            </w:r>
          </w:p>
        </w:tc>
        <w:tc>
          <w:tcPr>
            <w:tcW w:type="dxa" w:w="633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Публичный запуск Diffuse; creator/social-first positioning</w:t>
            </w:r>
          </w:p>
        </w:tc>
        <w:tc>
          <w:tcPr>
            <w:tcW w:type="dxa" w:w="2160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TechCrunch</w:t>
            </w:r>
          </w:p>
        </w:tc>
      </w:tr>
      <w:tr>
        <w:tc>
          <w:tcPr>
            <w:tcW w:type="dxa" w:w="165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03.2025</w:t>
            </w:r>
          </w:p>
        </w:tc>
        <w:tc>
          <w:tcPr>
            <w:tcW w:type="dxa" w:w="633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Запуск browser-based end-to-end platform</w:t>
            </w:r>
          </w:p>
        </w:tc>
        <w:tc>
          <w:tcPr>
            <w:tcW w:type="dxa" w:w="2160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Reuters, январь 2026</w:t>
            </w:r>
          </w:p>
        </w:tc>
      </w:tr>
      <w:tr>
        <w:tc>
          <w:tcPr>
            <w:tcW w:type="dxa" w:w="165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15.01.2026</w:t>
            </w:r>
          </w:p>
        </w:tc>
        <w:tc>
          <w:tcPr>
            <w:tcW w:type="dxa" w:w="633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15 млн users; $200 млн annualized run rate; valuation &gt;$1,3 млрд; +$80 млн extension к Series A</w:t>
            </w:r>
          </w:p>
        </w:tc>
        <w:tc>
          <w:tcPr>
            <w:tcW w:type="dxa" w:w="2160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Company metrics, переданные Reuters</w:t>
            </w:r>
          </w:p>
        </w:tc>
      </w:tr>
      <w:tr>
        <w:tc>
          <w:tcPr>
            <w:tcW w:type="dxa" w:w="165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17.08.2026</w:t>
            </w:r>
          </w:p>
        </w:tc>
        <w:tc>
          <w:tcPr>
            <w:tcW w:type="dxa" w:w="633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$400 млн Series B; valuation $5,4 млрд</w:t>
            </w:r>
          </w:p>
        </w:tc>
        <w:tc>
          <w:tcPr>
            <w:tcW w:type="dxa" w:w="2160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Reuters</w:t>
            </w:r>
          </w:p>
        </w:tc>
      </w:tr>
      <w:tr>
        <w:tc>
          <w:tcPr>
            <w:tcW w:type="dxa" w:w="165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17.08.2026</w:t>
            </w:r>
          </w:p>
        </w:tc>
        <w:tc>
          <w:tcPr>
            <w:tcW w:type="dxa" w:w="633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30 млн users, $700 млн annualized revenue, 390 Fortune 500</w:t>
            </w:r>
          </w:p>
        </w:tc>
        <w:tc>
          <w:tcPr>
            <w:tcW w:type="dxa" w:w="2160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Company claims в TechCrunch / пресс-релизе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FF2CC"/>
            <w:tcMar>
              <w:top w:w="150" w:type="dxa"/>
              <w:start w:w="180" w:type="dxa"/>
              <w:bottom w:w="150" w:type="dxa"/>
              <w:end w:w="180" w:type="dxa"/>
            </w:tcMar>
          </w:tcPr>
          <w:p>
            <w:r>
              <w:rPr>
                <w:b/>
                <w:color w:val="13263A"/>
                <w:sz w:val="22"/>
              </w:rPr>
              <w:t>Несогласованность текущих страниц</w:t>
              <w:br/>
            </w:r>
            <w:r>
              <w:rPr>
                <w:sz w:val="20"/>
              </w:rPr>
              <w:t>На странице About Higgsfield на момент фактчека указано 25 млн пользователей и valuation &gt;$1,3 млрд, тогда как датированный релиз 17.08.2026 говорит о 30 млн пользователей и valuation $5,4 млрд. Это типичный пример того, почему для быстрорастущего стартапа нельзя брать одну недатированную landing-page как окончательную истину.</w:t>
            </w:r>
          </w:p>
        </w:tc>
      </w:tr>
    </w:tbl>
    <w:p/>
    <w:p>
      <w:pPr>
        <w:pStyle w:val="Heading1"/>
      </w:pPr>
      <w:r>
        <w:t>4. Клиент и job-to-be-done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c>
          <w:tcPr>
            <w:tcW w:type="dxa" w:w="2160"/>
            <w:shd w:fill="13263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Сегмент</w:t>
            </w:r>
          </w:p>
        </w:tc>
        <w:tc>
          <w:tcPr>
            <w:tcW w:type="dxa" w:w="3240"/>
            <w:shd w:fill="13263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Проблема</w:t>
            </w:r>
          </w:p>
        </w:tc>
        <w:tc>
          <w:tcPr>
            <w:tcW w:type="dxa" w:w="3384"/>
            <w:shd w:fill="13263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Критерий покупки</w:t>
            </w:r>
          </w:p>
        </w:tc>
        <w:tc>
          <w:tcPr>
            <w:tcW w:type="dxa" w:w="2664"/>
            <w:shd w:fill="13263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Риск отказа</w:t>
            </w:r>
          </w:p>
        </w:tc>
      </w:tr>
      <w:tr>
        <w:tc>
          <w:tcPr>
            <w:tcW w:type="dxa" w:w="2160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Solo creator / freelancer</w:t>
            </w:r>
          </w:p>
        </w:tc>
        <w:tc>
          <w:tcPr>
            <w:tcW w:type="dxa" w:w="3240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Нужно быстро производить больше визуального контента</w:t>
            </w:r>
          </w:p>
        </w:tc>
        <w:tc>
          <w:tcPr>
            <w:tcW w:type="dxa" w:w="3384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Качество + time-to-first-good-output + стоимость</w:t>
            </w:r>
          </w:p>
        </w:tc>
        <w:tc>
          <w:tcPr>
            <w:tcW w:type="dxa" w:w="2664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Уйдёт к более дешёвой/лучшей модели</w:t>
            </w:r>
          </w:p>
        </w:tc>
      </w:tr>
      <w:tr>
        <w:tc>
          <w:tcPr>
            <w:tcW w:type="dxa" w:w="2160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Small agency / studio</w:t>
            </w:r>
          </w:p>
        </w:tc>
        <w:tc>
          <w:tcPr>
            <w:tcW w:type="dxa" w:w="3240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Много клиентских задач и правок</w:t>
            </w:r>
          </w:p>
        </w:tc>
        <w:tc>
          <w:tcPr>
            <w:tcW w:type="dxa" w:w="3384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Параллельность, shared assets, predictable usage</w:t>
            </w:r>
          </w:p>
        </w:tc>
        <w:tc>
          <w:tcPr>
            <w:tcW w:type="dxa" w:w="2664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Разные модели в отдельных сервисах могут быть дешевле</w:t>
            </w:r>
          </w:p>
        </w:tc>
      </w:tr>
      <w:tr>
        <w:tc>
          <w:tcPr>
            <w:tcW w:type="dxa" w:w="2160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Marketing team</w:t>
            </w:r>
          </w:p>
        </w:tc>
        <w:tc>
          <w:tcPr>
            <w:tcW w:type="dxa" w:w="3240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Нужны серии креативов и brand consistency</w:t>
            </w:r>
          </w:p>
        </w:tc>
        <w:tc>
          <w:tcPr>
            <w:tcW w:type="dxa" w:w="3384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Workflow, approvals, integrations, spend control</w:t>
            </w:r>
          </w:p>
        </w:tc>
        <w:tc>
          <w:tcPr>
            <w:tcW w:type="dxa" w:w="2664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Legal/security blockers</w:t>
            </w:r>
          </w:p>
        </w:tc>
      </w:tr>
      <w:tr>
        <w:tc>
          <w:tcPr>
            <w:tcW w:type="dxa" w:w="2160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Enterprise</w:t>
            </w:r>
          </w:p>
        </w:tc>
        <w:tc>
          <w:tcPr>
            <w:tcW w:type="dxa" w:w="3240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Масштаб, confidentiality, procurement</w:t>
            </w:r>
          </w:p>
        </w:tc>
        <w:tc>
          <w:tcPr>
            <w:tcW w:type="dxa" w:w="3384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SSO, no-train, indemnification, dedicated capacity, SLA</w:t>
            </w:r>
          </w:p>
        </w:tc>
        <w:tc>
          <w:tcPr>
            <w:tcW w:type="dxa" w:w="2664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Долгий sales cycle, high service cost</w:t>
            </w:r>
          </w:p>
        </w:tc>
      </w:tr>
    </w:tbl>
    <w:p/>
    <w:p>
      <w:pPr>
        <w:pStyle w:val="Heading1"/>
      </w:pPr>
      <w:r>
        <w:t>5. Product wedge: что могло стать точкой входа</w:t>
      </w:r>
    </w:p>
    <w:p>
      <w:r>
        <w:t>Публичная история не раскрывает внутренние продуктовые решения по кварталам, поэтому ниже — аналитическая реконструкция, а не утверждение «так именно делала компания».</w:t>
      </w:r>
    </w:p>
    <w:p>
      <w:pPr>
        <w:pStyle w:val="ListNumber"/>
      </w:pPr>
      <w:r>
        <w:t>Сначала дать быстрый wow-результат для creator/social use case, где ценность понятна без enterprise procurement.</w:t>
      </w:r>
    </w:p>
    <w:p>
      <w:pPr>
        <w:pStyle w:val="ListNumber"/>
      </w:pPr>
      <w:r>
        <w:t>Затем превратить использование в повторяемую credit-based экономику: чем больше production, тем больше consumption.</w:t>
      </w:r>
    </w:p>
    <w:p>
      <w:pPr>
        <w:pStyle w:val="ListNumber"/>
      </w:pPr>
      <w:r>
        <w:t>После подтверждения регулярного usage добавить team workspace и parallel generation — то, что отделяет игрушку от производственного инструмента.</w:t>
      </w:r>
    </w:p>
    <w:p>
      <w:pPr>
        <w:pStyle w:val="ListNumber"/>
      </w:pPr>
      <w:r>
        <w:t>Дальше — security, no-train, indemnification, SSO и dedicated capacity: enterprise layer, который трудно заменить одной новой моделью.</w:t>
      </w:r>
    </w:p>
    <w:p>
      <w:pPr>
        <w:pStyle w:val="ListNumber"/>
      </w:pPr>
      <w:r>
        <w:t>Интеграции и orchestration нескольких моделей снижают риск «одна базовая модель стала хуже конкурента»: продукт продаёт workflow, а не только один checkpoint.</w:t>
      </w:r>
    </w:p>
    <w:p>
      <w:pPr>
        <w:pStyle w:val="Heading1"/>
      </w:pPr>
      <w:r>
        <w:t>6. Монетизация: где находится настоящий unit economics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FF2CC"/>
            <w:tcMar>
              <w:top w:w="150" w:type="dxa"/>
              <w:start w:w="180" w:type="dxa"/>
              <w:bottom w:w="150" w:type="dxa"/>
              <w:end w:w="180" w:type="dxa"/>
            </w:tcMar>
          </w:tcPr>
          <w:p>
            <w:r>
              <w:rPr>
                <w:b/>
                <w:color w:val="13263A"/>
                <w:sz w:val="22"/>
              </w:rPr>
              <w:t>Критично</w:t>
              <w:br/>
            </w:r>
            <w:r>
              <w:rPr>
                <w:sz w:val="20"/>
              </w:rPr>
              <w:t>Exact pricing на dynamic pricing-page не удалось надёжно извлечь в фактчеке. Поэтому документ не фиксирует конкретную цену Team/Scale и не выдумывает её. Подтверждены структура планов, seat limits, credit allowances и функциональные различия.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c>
          <w:tcPr>
            <w:tcW w:type="dxa" w:w="2088"/>
            <w:shd w:fill="13263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Метрика</w:t>
            </w:r>
          </w:p>
        </w:tc>
        <w:tc>
          <w:tcPr>
            <w:tcW w:type="dxa" w:w="2736"/>
            <w:shd w:fill="13263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Что известно</w:t>
            </w:r>
          </w:p>
        </w:tc>
        <w:tc>
          <w:tcPr>
            <w:tcW w:type="dxa" w:w="2664"/>
            <w:shd w:fill="13263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Что неизвестно</w:t>
            </w:r>
          </w:p>
        </w:tc>
        <w:tc>
          <w:tcPr>
            <w:tcW w:type="dxa" w:w="3168"/>
            <w:shd w:fill="13263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Почему важно</w:t>
            </w:r>
          </w:p>
        </w:tc>
      </w:tr>
      <w:tr>
        <w:tc>
          <w:tcPr>
            <w:tcW w:type="dxa" w:w="2088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Revenue run rate</w:t>
            </w:r>
          </w:p>
        </w:tc>
        <w:tc>
          <w:tcPr>
            <w:tcW w:type="dxa" w:w="273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$700 млн annualized revenue — company claim 17.08.2026</w:t>
            </w:r>
          </w:p>
        </w:tc>
        <w:tc>
          <w:tcPr>
            <w:tcW w:type="dxa" w:w="2664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Recognized TTM revenue</w:t>
            </w:r>
          </w:p>
        </w:tc>
        <w:tc>
          <w:tcPr>
            <w:tcW w:type="dxa" w:w="3168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Не путать run rate с аудированной выручкой</w:t>
            </w:r>
          </w:p>
        </w:tc>
      </w:tr>
      <w:tr>
        <w:tc>
          <w:tcPr>
            <w:tcW w:type="dxa" w:w="2088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Users</w:t>
            </w:r>
          </w:p>
        </w:tc>
        <w:tc>
          <w:tcPr>
            <w:tcW w:type="dxa" w:w="273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30 млн — company claim 17.08.2026</w:t>
            </w:r>
          </w:p>
        </w:tc>
        <w:tc>
          <w:tcPr>
            <w:tcW w:type="dxa" w:w="2664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MAU, WAU, paid accounts</w:t>
            </w:r>
          </w:p>
        </w:tc>
        <w:tc>
          <w:tcPr>
            <w:tcW w:type="dxa" w:w="3168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Нельзя считать ARPU без denominator</w:t>
            </w:r>
          </w:p>
        </w:tc>
      </w:tr>
      <w:tr>
        <w:tc>
          <w:tcPr>
            <w:tcW w:type="dxa" w:w="2088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Credits</w:t>
            </w:r>
          </w:p>
        </w:tc>
        <w:tc>
          <w:tcPr>
            <w:tcW w:type="dxa" w:w="273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Usage currency; spend зависит от model/resolution/duration</w:t>
            </w:r>
          </w:p>
        </w:tc>
        <w:tc>
          <w:tcPr>
            <w:tcW w:type="dxa" w:w="2664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Average credits/user, cost per credit</w:t>
            </w:r>
          </w:p>
        </w:tc>
        <w:tc>
          <w:tcPr>
            <w:tcW w:type="dxa" w:w="3168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Ключ к variable revenue и compute</w:t>
            </w:r>
          </w:p>
        </w:tc>
      </w:tr>
      <w:tr>
        <w:tc>
          <w:tcPr>
            <w:tcW w:type="dxa" w:w="2088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Compute cost</w:t>
            </w:r>
          </w:p>
        </w:tc>
        <w:tc>
          <w:tcPr>
            <w:tcW w:type="dxa" w:w="273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Компания прямо называет video compute капиталоёмким</w:t>
            </w:r>
          </w:p>
        </w:tc>
        <w:tc>
          <w:tcPr>
            <w:tcW w:type="dxa" w:w="2664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COGS per generation</w:t>
            </w:r>
          </w:p>
        </w:tc>
        <w:tc>
          <w:tcPr>
            <w:tcW w:type="dxa" w:w="3168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Определяет gross margin</w:t>
            </w:r>
          </w:p>
        </w:tc>
      </w:tr>
      <w:tr>
        <w:tc>
          <w:tcPr>
            <w:tcW w:type="dxa" w:w="2088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Business plans</w:t>
            </w:r>
          </w:p>
        </w:tc>
        <w:tc>
          <w:tcPr>
            <w:tcW w:type="dxa" w:w="273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Team/Scale/Enterprise, pooled credits</w:t>
            </w:r>
          </w:p>
        </w:tc>
        <w:tc>
          <w:tcPr>
            <w:tcW w:type="dxa" w:w="2664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Точный mix по тарифам</w:t>
            </w:r>
          </w:p>
        </w:tc>
        <w:tc>
          <w:tcPr>
            <w:tcW w:type="dxa" w:w="3168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Определяет ARPA/NRR</w:t>
            </w:r>
          </w:p>
        </w:tc>
      </w:tr>
      <w:tr>
        <w:tc>
          <w:tcPr>
            <w:tcW w:type="dxa" w:w="2088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Enterprise</w:t>
            </w:r>
          </w:p>
        </w:tc>
        <w:tc>
          <w:tcPr>
            <w:tcW w:type="dxa" w:w="273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Dedicated capacity, no-train, indemnification</w:t>
            </w:r>
          </w:p>
        </w:tc>
        <w:tc>
          <w:tcPr>
            <w:tcW w:type="dxa" w:w="2664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Sales cycle, service cost, contract size</w:t>
            </w:r>
          </w:p>
        </w:tc>
        <w:tc>
          <w:tcPr>
            <w:tcW w:type="dxa" w:w="3168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Может улучшать retention, но увеличивать delivery cost</w:t>
            </w:r>
          </w:p>
        </w:tc>
      </w:tr>
    </w:tbl>
    <w:p/>
    <w:p>
      <w:pPr>
        <w:pStyle w:val="Heading1"/>
      </w:pPr>
      <w:r>
        <w:t>7. Reverse unit economics: что можно посчитать без фантазий</w:t>
      </w:r>
    </w:p>
    <w:p>
      <w:r>
        <w:t>Если принять только две публичные company-reported величины — 30 млн пользователей и $700 млн annualized revenue — можно посчитать не ARPU, а «revenue per registered user proxy»: около $23,3 в год. Он не говорит, сколько платит реальный клиент, потому что неизвестна доля платящих.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c>
          <w:tcPr>
            <w:tcW w:type="dxa" w:w="2376"/>
            <w:shd w:fill="13263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Предполагаемая доля платящих</w:t>
            </w:r>
          </w:p>
        </w:tc>
        <w:tc>
          <w:tcPr>
            <w:tcW w:type="dxa" w:w="2232"/>
            <w:shd w:fill="13263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Платящих аккаунтов</w:t>
            </w:r>
          </w:p>
        </w:tc>
        <w:tc>
          <w:tcPr>
            <w:tcW w:type="dxa" w:w="3024"/>
            <w:shd w:fill="13263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Implied annual revenue / paying account</w:t>
            </w:r>
          </w:p>
        </w:tc>
        <w:tc>
          <w:tcPr>
            <w:tcW w:type="dxa" w:w="2952"/>
            <w:shd w:fill="13263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Implied monthly revenue / paying account</w:t>
            </w:r>
          </w:p>
        </w:tc>
      </w:tr>
      <w:tr>
        <w:tc>
          <w:tcPr>
            <w:tcW w:type="dxa" w:w="237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1%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300 тыс.</w:t>
            </w:r>
          </w:p>
        </w:tc>
        <w:tc>
          <w:tcPr>
            <w:tcW w:type="dxa" w:w="3024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$2 333</w:t>
            </w:r>
          </w:p>
        </w:tc>
        <w:tc>
          <w:tcPr>
            <w:tcW w:type="dxa" w:w="2952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$194</w:t>
            </w:r>
          </w:p>
        </w:tc>
      </w:tr>
      <w:tr>
        <w:tc>
          <w:tcPr>
            <w:tcW w:type="dxa" w:w="237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2%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600 тыс.</w:t>
            </w:r>
          </w:p>
        </w:tc>
        <w:tc>
          <w:tcPr>
            <w:tcW w:type="dxa" w:w="3024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$1 167</w:t>
            </w:r>
          </w:p>
        </w:tc>
        <w:tc>
          <w:tcPr>
            <w:tcW w:type="dxa" w:w="2952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$97</w:t>
            </w:r>
          </w:p>
        </w:tc>
      </w:tr>
      <w:tr>
        <w:tc>
          <w:tcPr>
            <w:tcW w:type="dxa" w:w="237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4%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1,2 млн</w:t>
            </w:r>
          </w:p>
        </w:tc>
        <w:tc>
          <w:tcPr>
            <w:tcW w:type="dxa" w:w="3024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$583</w:t>
            </w:r>
          </w:p>
        </w:tc>
        <w:tc>
          <w:tcPr>
            <w:tcW w:type="dxa" w:w="2952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$49</w:t>
            </w:r>
          </w:p>
        </w:tc>
      </w:tr>
      <w:tr>
        <w:tc>
          <w:tcPr>
            <w:tcW w:type="dxa" w:w="237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8%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2,4 млн</w:t>
            </w:r>
          </w:p>
        </w:tc>
        <w:tc>
          <w:tcPr>
            <w:tcW w:type="dxa" w:w="3024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$292</w:t>
            </w:r>
          </w:p>
        </w:tc>
        <w:tc>
          <w:tcPr>
            <w:tcW w:type="dxa" w:w="2952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$24</w:t>
            </w:r>
          </w:p>
        </w:tc>
      </w:tr>
    </w:tbl>
    <w:p/>
    <w:p>
      <w:r>
        <w:t>Это не прогноз Higgsfield, а обратный расчёт. Он показывает, насколько сильно вывод о monetization зависит от paying conversion и enterprise mix.</w:t>
      </w:r>
    </w:p>
    <w:p>
      <w:pPr>
        <w:pStyle w:val="Heading1"/>
      </w:pPr>
      <w:r>
        <w:t>8. Growth engine: почему рост мог ускориться</w:t>
      </w:r>
    </w:p>
    <w:p>
      <w:pPr>
        <w:pStyle w:val="ListBullet"/>
      </w:pPr>
      <w:r>
        <w:t>Виральность визуального результата: generated asset сам служит демонстрацией продукта.</w:t>
      </w:r>
    </w:p>
    <w:p>
      <w:pPr>
        <w:pStyle w:val="ListBullet"/>
      </w:pPr>
      <w:r>
        <w:t>Creator-led distribution: аудитория учится через примеры, presets и community output, а не только через sales demos.</w:t>
      </w:r>
    </w:p>
    <w:p>
      <w:pPr>
        <w:pStyle w:val="ListBullet"/>
      </w:pPr>
      <w:r>
        <w:t>Быстрое расширение product surface: image + video + audio + camera/control + business workspace.</w:t>
      </w:r>
    </w:p>
    <w:p>
      <w:pPr>
        <w:pStyle w:val="ListBullet"/>
      </w:pPr>
      <w:r>
        <w:t>Aggregation/orchestration: возможность давать доступ к нескольким моделям уменьшает зависимость от одного собственника foundation model.</w:t>
      </w:r>
    </w:p>
    <w:p>
      <w:pPr>
        <w:pStyle w:val="ListBullet"/>
      </w:pPr>
      <w:r>
        <w:t>Переход к team/enterprise повышает monetization без необходимости линейно увеличивать число зарегистрированных пользователей.</w:t>
      </w:r>
    </w:p>
    <w:p>
      <w:pPr>
        <w:pStyle w:val="ListBullet"/>
      </w:pPr>
      <w:r>
        <w:t>Compute и parallelism становятся не только расходом, но и частью тарификации и enterprise differentiation.</w:t>
      </w:r>
    </w:p>
    <w:p>
      <w:pPr>
        <w:pStyle w:val="Heading1"/>
      </w:pPr>
      <w:r>
        <w:t>9. Funding и valuation: что инвесторы покупают сейчас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c>
          <w:tcPr>
            <w:tcW w:type="dxa" w:w="2016"/>
            <w:shd w:fill="13263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Период</w:t>
            </w:r>
          </w:p>
        </w:tc>
        <w:tc>
          <w:tcPr>
            <w:tcW w:type="dxa" w:w="2448"/>
            <w:shd w:fill="13263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Valuation</w:t>
            </w:r>
          </w:p>
        </w:tc>
        <w:tc>
          <w:tcPr>
            <w:tcW w:type="dxa" w:w="3240"/>
            <w:shd w:fill="13263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Annualized revenue / run rate</w:t>
            </w:r>
          </w:p>
        </w:tc>
        <w:tc>
          <w:tcPr>
            <w:tcW w:type="dxa" w:w="3096"/>
            <w:shd w:fill="13263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Простой valuation / revenue-run-rate multiple</w:t>
            </w:r>
          </w:p>
        </w:tc>
      </w:tr>
      <w:tr>
        <w:tc>
          <w:tcPr>
            <w:tcW w:type="dxa" w:w="201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Январь 2026</w:t>
            </w:r>
          </w:p>
        </w:tc>
        <w:tc>
          <w:tcPr>
            <w:tcW w:type="dxa" w:w="2448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$1,3 млрд</w:t>
            </w:r>
          </w:p>
        </w:tc>
        <w:tc>
          <w:tcPr>
            <w:tcW w:type="dxa" w:w="3240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$200 млн</w:t>
            </w:r>
          </w:p>
        </w:tc>
        <w:tc>
          <w:tcPr>
            <w:tcW w:type="dxa" w:w="309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~6,5x</w:t>
            </w:r>
          </w:p>
        </w:tc>
      </w:tr>
      <w:tr>
        <w:tc>
          <w:tcPr>
            <w:tcW w:type="dxa" w:w="201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Август 2026</w:t>
            </w:r>
          </w:p>
        </w:tc>
        <w:tc>
          <w:tcPr>
            <w:tcW w:type="dxa" w:w="2448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$5,4 млрд</w:t>
            </w:r>
          </w:p>
        </w:tc>
        <w:tc>
          <w:tcPr>
            <w:tcW w:type="dxa" w:w="3240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$700 млн</w:t>
            </w:r>
          </w:p>
        </w:tc>
        <w:tc>
          <w:tcPr>
            <w:tcW w:type="dxa" w:w="309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~7,7x</w:t>
            </w:r>
          </w:p>
        </w:tc>
      </w:tr>
    </w:tbl>
    <w:p/>
    <w:p>
      <w:r>
        <w:t>Мультипликатор расширился одновременно с ускорением revenue run rate и enterprise narrative. Это не означает, что рынок гарантирует такой multiple дальше: sector comps тоже получают крупные оценки, а конкуренция за compute и модели остаётся высокой.</w:t>
      </w:r>
    </w:p>
    <w:p>
      <w:pPr>
        <w:pStyle w:val="Heading1"/>
      </w:pPr>
      <w:r>
        <w:t>10. Конкурентная карта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c>
          <w:tcPr>
            <w:tcW w:type="dxa" w:w="2592"/>
            <w:shd w:fill="13263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Архетип конкурента</w:t>
            </w:r>
          </w:p>
        </w:tc>
        <w:tc>
          <w:tcPr>
            <w:tcW w:type="dxa" w:w="2232"/>
            <w:shd w:fill="13263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Пример</w:t>
            </w:r>
          </w:p>
        </w:tc>
        <w:tc>
          <w:tcPr>
            <w:tcW w:type="dxa" w:w="2952"/>
            <w:shd w:fill="13263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Сила</w:t>
            </w:r>
          </w:p>
        </w:tc>
        <w:tc>
          <w:tcPr>
            <w:tcW w:type="dxa" w:w="3240"/>
            <w:shd w:fill="13263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Угроза Higgsfield</w:t>
            </w:r>
          </w:p>
        </w:tc>
      </w:tr>
      <w:tr>
        <w:tc>
          <w:tcPr>
            <w:tcW w:type="dxa" w:w="2592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Full-stack video / world models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Runway</w:t>
            </w:r>
          </w:p>
        </w:tc>
        <w:tc>
          <w:tcPr>
            <w:tcW w:type="dxa" w:w="2952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Собственные модели, research depth, media/enterprise</w:t>
            </w:r>
          </w:p>
        </w:tc>
        <w:tc>
          <w:tcPr>
            <w:tcW w:type="dxa" w:w="3240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Может выигрывать качеством модели и proprietary tech</w:t>
            </w:r>
          </w:p>
        </w:tc>
      </w:tr>
      <w:tr>
        <w:tc>
          <w:tcPr>
            <w:tcW w:type="dxa" w:w="2592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Enterprise avatar/video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Synthesia</w:t>
            </w:r>
          </w:p>
        </w:tc>
        <w:tc>
          <w:tcPr>
            <w:tcW w:type="dxa" w:w="2952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Чёткий B2B use case, enterprise ARR, procurement maturity</w:t>
            </w:r>
          </w:p>
        </w:tc>
        <w:tc>
          <w:tcPr>
            <w:tcW w:type="dxa" w:w="3240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Лучше позиционирован в training/corporate video</w:t>
            </w:r>
          </w:p>
        </w:tc>
      </w:tr>
      <w:tr>
        <w:tc>
          <w:tcPr>
            <w:tcW w:type="dxa" w:w="2592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Big Tech foundation models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Google/OpenAI и др.</w:t>
            </w:r>
          </w:p>
        </w:tc>
        <w:tc>
          <w:tcPr>
            <w:tcW w:type="dxa" w:w="2952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Compute, distribution, bundled ecosystems</w:t>
            </w:r>
          </w:p>
        </w:tc>
        <w:tc>
          <w:tcPr>
            <w:tcW w:type="dxa" w:w="3240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Могут обнулить ценность отдельного generation layer</w:t>
            </w:r>
          </w:p>
        </w:tc>
      </w:tr>
      <w:tr>
        <w:tc>
          <w:tcPr>
            <w:tcW w:type="dxa" w:w="2592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Model aggregators / workflow tools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Многочисленные AI suites</w:t>
            </w:r>
          </w:p>
        </w:tc>
        <w:tc>
          <w:tcPr>
            <w:tcW w:type="dxa" w:w="2952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Быстрое подключение best-of-breed models</w:t>
            </w:r>
          </w:p>
        </w:tc>
        <w:tc>
          <w:tcPr>
            <w:tcW w:type="dxa" w:w="3240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Снижает switching cost, если workflow неглубокий</w:t>
            </w:r>
          </w:p>
        </w:tc>
      </w:tr>
    </w:tbl>
    <w:p/>
    <w:p>
      <w:r>
        <w:t>Отдельный сигнал насыщенности: OneLittleWeb оценил долю Higgsfield лишь в 12,13% web visits категории, несмотря на первое место. То есть даже лидер не контролирует рынок — пользователи продолжают переключаться между инструментами.</w:t>
      </w:r>
    </w:p>
    <w:p>
      <w:pPr>
        <w:pStyle w:val="Heading1"/>
      </w:pPr>
      <w:r>
        <w:t>11. Риски, которые могут сломать историю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c>
          <w:tcPr>
            <w:tcW w:type="dxa" w:w="2448"/>
            <w:shd w:fill="13263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Риск</w:t>
            </w:r>
          </w:p>
        </w:tc>
        <w:tc>
          <w:tcPr>
            <w:tcW w:type="dxa" w:w="3240"/>
            <w:shd w:fill="13263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Ранний сигнал</w:t>
            </w:r>
          </w:p>
        </w:tc>
        <w:tc>
          <w:tcPr>
            <w:tcW w:type="dxa" w:w="4392"/>
            <w:shd w:fill="13263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Что должно защищать модель</w:t>
            </w:r>
          </w:p>
        </w:tc>
      </w:tr>
      <w:tr>
        <w:tc>
          <w:tcPr>
            <w:tcW w:type="dxa" w:w="2448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Commoditization моделей</w:t>
            </w:r>
          </w:p>
        </w:tc>
        <w:tc>
          <w:tcPr>
            <w:tcW w:type="dxa" w:w="3240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Качество конкурентов сравнялось, цена generation падает</w:t>
            </w:r>
          </w:p>
        </w:tc>
        <w:tc>
          <w:tcPr>
            <w:tcW w:type="dxa" w:w="4392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Workflow, brand controls, integrations, team assets</w:t>
            </w:r>
          </w:p>
        </w:tc>
      </w:tr>
      <w:tr>
        <w:tc>
          <w:tcPr>
            <w:tcW w:type="dxa" w:w="2448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Compute squeeze</w:t>
            </w:r>
          </w:p>
        </w:tc>
        <w:tc>
          <w:tcPr>
            <w:tcW w:type="dxa" w:w="3240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COGS растёт быстрее revenue / нехватка capacity</w:t>
            </w:r>
          </w:p>
        </w:tc>
        <w:tc>
          <w:tcPr>
            <w:tcW w:type="dxa" w:w="4392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Pricing discipline, dedicated capacity, model routing</w:t>
            </w:r>
          </w:p>
        </w:tc>
      </w:tr>
      <w:tr>
        <w:tc>
          <w:tcPr>
            <w:tcW w:type="dxa" w:w="2448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Retention после wow-effect</w:t>
            </w:r>
          </w:p>
        </w:tc>
        <w:tc>
          <w:tcPr>
            <w:tcW w:type="dxa" w:w="3240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Много first-use, мало повторного production</w:t>
            </w:r>
          </w:p>
        </w:tc>
        <w:tc>
          <w:tcPr>
            <w:tcW w:type="dxa" w:w="4392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Recurring workflows, templates, approvals, asset reuse</w:t>
            </w:r>
          </w:p>
        </w:tc>
      </w:tr>
      <w:tr>
        <w:tc>
          <w:tcPr>
            <w:tcW w:type="dxa" w:w="2448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Enterprise friction</w:t>
            </w:r>
          </w:p>
        </w:tc>
        <w:tc>
          <w:tcPr>
            <w:tcW w:type="dxa" w:w="3240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Длинный procurement, security блокеры</w:t>
            </w:r>
          </w:p>
        </w:tc>
        <w:tc>
          <w:tcPr>
            <w:tcW w:type="dxa" w:w="4392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SOC2/no-train/SSO/indemnification/SLA</w:t>
            </w:r>
          </w:p>
        </w:tc>
      </w:tr>
      <w:tr>
        <w:tc>
          <w:tcPr>
            <w:tcW w:type="dxa" w:w="2448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IP / deepfake / safety</w:t>
            </w:r>
          </w:p>
        </w:tc>
        <w:tc>
          <w:tcPr>
            <w:tcW w:type="dxa" w:w="3240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Жалобы, takedown, regulatory pressure</w:t>
            </w:r>
          </w:p>
        </w:tc>
        <w:tc>
          <w:tcPr>
            <w:tcW w:type="dxa" w:w="4392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Moderation, provenance, contracts, policy</w:t>
            </w:r>
          </w:p>
        </w:tc>
      </w:tr>
      <w:tr>
        <w:tc>
          <w:tcPr>
            <w:tcW w:type="dxa" w:w="2448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Platform dependency</w:t>
            </w:r>
          </w:p>
        </w:tc>
        <w:tc>
          <w:tcPr>
            <w:tcW w:type="dxa" w:w="3240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Ключевые partner models меняют цену/API</w:t>
            </w:r>
          </w:p>
        </w:tc>
        <w:tc>
          <w:tcPr>
            <w:tcW w:type="dxa" w:w="4392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Multi-model orchestration + proprietary layer</w:t>
            </w:r>
          </w:p>
        </w:tc>
      </w:tr>
      <w:tr>
        <w:tc>
          <w:tcPr>
            <w:tcW w:type="dxa" w:w="2448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Valuation pressure</w:t>
            </w:r>
          </w:p>
        </w:tc>
        <w:tc>
          <w:tcPr>
            <w:tcW w:type="dxa" w:w="3240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Growth замедляется при multiple ~7–8x run rate</w:t>
            </w:r>
          </w:p>
        </w:tc>
        <w:tc>
          <w:tcPr>
            <w:tcW w:type="dxa" w:w="4392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Quality of revenue, margin, NRR, enterprise expansion</w:t>
            </w:r>
          </w:p>
        </w:tc>
      </w:tr>
    </w:tbl>
    <w:p/>
    <w:p>
      <w:pPr>
        <w:pStyle w:val="Heading1"/>
      </w:pPr>
      <w:r>
        <w:t>12. Что действительно можно копировать малому стартапу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256"/>
            <w:shd w:fill="13263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Можно копировать</w:t>
            </w:r>
          </w:p>
        </w:tc>
        <w:tc>
          <w:tcPr>
            <w:tcW w:type="dxa" w:w="5256"/>
            <w:shd w:fill="13263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Нельзя копировать</w:t>
            </w:r>
          </w:p>
        </w:tc>
      </w:tr>
      <w:tr>
        <w:tc>
          <w:tcPr>
            <w:tcW w:type="dxa" w:w="525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Узкий job-to-be-done вместо «AI для всего»</w:t>
            </w:r>
          </w:p>
        </w:tc>
        <w:tc>
          <w:tcPr>
            <w:tcW w:type="dxa" w:w="525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Собирать свою foundation video model до доказанного спроса</w:t>
            </w:r>
          </w:p>
        </w:tc>
      </w:tr>
      <w:tr>
        <w:tc>
          <w:tcPr>
            <w:tcW w:type="dxa" w:w="525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Usage-linked pricing и cost visibility</w:t>
            </w:r>
          </w:p>
        </w:tc>
        <w:tc>
          <w:tcPr>
            <w:tcW w:type="dxa" w:w="525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Считать revenue без compute COGS</w:t>
            </w:r>
          </w:p>
        </w:tc>
      </w:tr>
      <w:tr>
        <w:tc>
          <w:tcPr>
            <w:tcW w:type="dxa" w:w="525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Manual concierge MVP поверх чужих моделей</w:t>
            </w:r>
          </w:p>
        </w:tc>
        <w:tc>
          <w:tcPr>
            <w:tcW w:type="dxa" w:w="525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Покупать enterprise security до первых enterprise сигналов</w:t>
            </w:r>
          </w:p>
        </w:tc>
      </w:tr>
      <w:tr>
        <w:tc>
          <w:tcPr>
            <w:tcW w:type="dxa" w:w="525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Workflow + approval + asset management</w:t>
            </w:r>
          </w:p>
        </w:tc>
        <w:tc>
          <w:tcPr>
            <w:tcW w:type="dxa" w:w="525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Считать число регистраций главным KPI</w:t>
            </w:r>
          </w:p>
        </w:tc>
      </w:tr>
      <w:tr>
        <w:tc>
          <w:tcPr>
            <w:tcW w:type="dxa" w:w="525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Kill-gates по retention и contribution</w:t>
            </w:r>
          </w:p>
        </w:tc>
        <w:tc>
          <w:tcPr>
            <w:tcW w:type="dxa" w:w="525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Интерпретировать венчурный раунд как доказанную прибыльность</w:t>
            </w:r>
          </w:p>
        </w:tc>
      </w:tr>
    </w:tbl>
    <w:p/>
    <w:p>
      <w:pPr>
        <w:pStyle w:val="Heading1"/>
      </w:pPr>
      <w:r>
        <w:t>13. KPI для наблюдения за стартапом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c>
          <w:tcPr>
            <w:tcW w:type="dxa" w:w="3096"/>
            <w:shd w:fill="13263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KPI</w:t>
            </w:r>
          </w:p>
        </w:tc>
        <w:tc>
          <w:tcPr>
            <w:tcW w:type="dxa" w:w="4464"/>
            <w:shd w:fill="13263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Зачем смотреть</w:t>
            </w:r>
          </w:p>
        </w:tc>
        <w:tc>
          <w:tcPr>
            <w:tcW w:type="dxa" w:w="2952"/>
            <w:shd w:fill="13263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Порог внимания</w:t>
            </w:r>
          </w:p>
        </w:tc>
      </w:tr>
      <w:tr>
        <w:tc>
          <w:tcPr>
            <w:tcW w:type="dxa" w:w="309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Annualized revenue / recognized revenue</w:t>
            </w:r>
          </w:p>
        </w:tc>
        <w:tc>
          <w:tcPr>
            <w:tcW w:type="dxa" w:w="4464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Отделить темп роста от фактической выручки</w:t>
            </w:r>
          </w:p>
        </w:tc>
        <w:tc>
          <w:tcPr>
            <w:tcW w:type="dxa" w:w="2952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Если run rate растёт, а recognized revenue сильно отстаёт</w:t>
            </w:r>
          </w:p>
        </w:tc>
      </w:tr>
      <w:tr>
        <w:tc>
          <w:tcPr>
            <w:tcW w:type="dxa" w:w="309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Paid conversion / paid accounts</w:t>
            </w:r>
          </w:p>
        </w:tc>
        <w:tc>
          <w:tcPr>
            <w:tcW w:type="dxa" w:w="4464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Понять monetization базы</w:t>
            </w:r>
          </w:p>
        </w:tc>
        <w:tc>
          <w:tcPr>
            <w:tcW w:type="dxa" w:w="2952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Нет публичных данных — ключевой пробел</w:t>
            </w:r>
          </w:p>
        </w:tc>
      </w:tr>
      <w:tr>
        <w:tc>
          <w:tcPr>
            <w:tcW w:type="dxa" w:w="309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Gross margin after compute</w:t>
            </w:r>
          </w:p>
        </w:tc>
        <w:tc>
          <w:tcPr>
            <w:tcW w:type="dxa" w:w="4464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Понять качество unit economics</w:t>
            </w:r>
          </w:p>
        </w:tc>
        <w:tc>
          <w:tcPr>
            <w:tcW w:type="dxa" w:w="2952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Низкая margin делает рост compute-капиталоёмким</w:t>
            </w:r>
          </w:p>
        </w:tc>
      </w:tr>
      <w:tr>
        <w:tc>
          <w:tcPr>
            <w:tcW w:type="dxa" w:w="309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NRR / expansion</w:t>
            </w:r>
          </w:p>
        </w:tc>
        <w:tc>
          <w:tcPr>
            <w:tcW w:type="dxa" w:w="4464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Понять enterprise quality</w:t>
            </w:r>
          </w:p>
        </w:tc>
        <w:tc>
          <w:tcPr>
            <w:tcW w:type="dxa" w:w="2952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Без expansion B2B valuation сложнее поддерживать</w:t>
            </w:r>
          </w:p>
        </w:tc>
      </w:tr>
      <w:tr>
        <w:tc>
          <w:tcPr>
            <w:tcW w:type="dxa" w:w="309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Generation-to-approved-asset rate</w:t>
            </w:r>
          </w:p>
        </w:tc>
        <w:tc>
          <w:tcPr>
            <w:tcW w:type="dxa" w:w="4464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Качество продукта для бизнеса</w:t>
            </w:r>
          </w:p>
        </w:tc>
        <w:tc>
          <w:tcPr>
            <w:tcW w:type="dxa" w:w="2952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Много generations без approved asset = waste</w:t>
            </w:r>
          </w:p>
        </w:tc>
      </w:tr>
      <w:tr>
        <w:tc>
          <w:tcPr>
            <w:tcW w:type="dxa" w:w="309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Compute per $ revenue</w:t>
            </w:r>
          </w:p>
        </w:tc>
        <w:tc>
          <w:tcPr>
            <w:tcW w:type="dxa" w:w="4464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Эффективность routing/pricing</w:t>
            </w:r>
          </w:p>
        </w:tc>
        <w:tc>
          <w:tcPr>
            <w:tcW w:type="dxa" w:w="2952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Рост быстрее revenue — тревога</w:t>
            </w:r>
          </w:p>
        </w:tc>
      </w:tr>
      <w:tr>
        <w:tc>
          <w:tcPr>
            <w:tcW w:type="dxa" w:w="309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Enterprise share</w:t>
            </w:r>
          </w:p>
        </w:tc>
        <w:tc>
          <w:tcPr>
            <w:tcW w:type="dxa" w:w="4464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Устойчивость contracts</w:t>
            </w:r>
          </w:p>
        </w:tc>
        <w:tc>
          <w:tcPr>
            <w:tcW w:type="dxa" w:w="2952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Слишком высокий concentration тоже риск</w:t>
            </w:r>
          </w:p>
        </w:tc>
      </w:tr>
    </w:tbl>
    <w:p/>
    <w:p>
      <w:pPr>
        <w:pStyle w:val="Heading1"/>
      </w:pPr>
      <w:r>
        <w:t>14. Итоговый вердикт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DCEFE3"/>
            <w:tcMar>
              <w:top w:w="150" w:type="dxa"/>
              <w:start w:w="180" w:type="dxa"/>
              <w:bottom w:w="150" w:type="dxa"/>
              <w:end w:w="180" w:type="dxa"/>
            </w:tcMar>
          </w:tcPr>
          <w:p>
            <w:r>
              <w:rPr>
                <w:b/>
                <w:color w:val="13263A"/>
                <w:sz w:val="22"/>
              </w:rPr>
              <w:t>WATCH / STRONG SIGNAL</w:t>
              <w:br/>
            </w:r>
            <w:r>
              <w:rPr>
                <w:sz w:val="20"/>
              </w:rPr>
              <w:t>Higgsfield показывает редкую скорость перехода от consumer/creator excitement к enterprise story. Но публичный набор данных не позволяет доказать gross margin, retention или фактический free cash flow. Поэтому правильный вывод для «Бизнеса под микроскопом» — не «нашли идеальный AI-стартап», а «видим очень сильный growth signal, который нужно проверять через quality of revenue, compute economics и switching costs».</w:t>
            </w:r>
          </w:p>
        </w:tc>
      </w:tr>
    </w:tbl>
    <w:p/>
    <w:p>
      <w:pPr>
        <w:pStyle w:val="Heading1"/>
      </w:pPr>
      <w:r>
        <w:t>Источники и статус данных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FF2CC"/>
            <w:tcMar>
              <w:top w:w="150" w:type="dxa"/>
              <w:start w:w="180" w:type="dxa"/>
              <w:bottom w:w="150" w:type="dxa"/>
              <w:end w:w="180" w:type="dxa"/>
            </w:tcMar>
          </w:tcPr>
          <w:p>
            <w:r>
              <w:rPr>
                <w:b/>
                <w:color w:val="13263A"/>
                <w:sz w:val="22"/>
              </w:rPr>
              <w:t>Как читать источники</w:t>
              <w:br/>
            </w:r>
            <w:r>
              <w:rPr>
                <w:sz w:val="20"/>
              </w:rPr>
              <w:t>В публичных метриках Higgsfield много company-reported показателей. В документе они не превращаются в аудированную отчётность. Annualized revenue/run rate — темп выручки, экстраполированный на год, а не обязательно фактическая выручка за последние 12 месяцев.</w:t>
            </w:r>
          </w:p>
        </w:tc>
      </w:tr>
    </w:tbl>
    <w:p/>
    <w:p>
      <w:r>
        <w:rPr>
          <w:b/>
        </w:rPr>
        <w:t xml:space="preserve">Reuters, 15.01.2026 — </w:t>
      </w:r>
      <w:r>
        <w:t xml:space="preserve">Higgsfield: $80 млн extension к Series A, valuation &gt;$1,3 млрд; 15 млн пользователей; $200 млн annualized run rate; 85% пользователей — social media marketers; browser-платформа запущена в марте 2025. </w:t>
      </w:r>
      <w:hyperlink r:id="rId10">
        <w:r>
          <w:rPr>
            <w:color w:val="1F5E8C"/>
            <w:u w:val="single"/>
          </w:rPr>
          <w:t>https://www.reuters.com/business/media-telecom/ai-video-startup-higgsfield-hits-13-billion-valuation-with-latest-funding-2026-01-15/</w:t>
        </w:r>
      </w:hyperlink>
    </w:p>
    <w:p>
      <w:r>
        <w:rPr>
          <w:b/>
        </w:rPr>
        <w:t xml:space="preserve">Reuters, 17.08.2026 — </w:t>
      </w:r>
      <w:r>
        <w:t xml:space="preserve">$400 млн Series B, valuation $5,4 млрд. </w:t>
      </w:r>
      <w:hyperlink r:id="rId11">
        <w:r>
          <w:rPr>
            <w:color w:val="1F5E8C"/>
            <w:u w:val="single"/>
          </w:rPr>
          <w:t>https://www.reuters.com/business/media-telecom/higgsfields-valuation-soars-fourfold-54-billion-six-months-ai-content-demand-2026-08-17/</w:t>
        </w:r>
      </w:hyperlink>
    </w:p>
    <w:p>
      <w:r>
        <w:rPr>
          <w:b/>
        </w:rPr>
        <w:t xml:space="preserve">TechCrunch, 17.08.2026 — </w:t>
      </w:r>
      <w:r>
        <w:t xml:space="preserve">Компания заявила $700 млн annualized revenue, 30 млн пользователей в 200 странах, работу с 390 компаниями Fortune 500; $400 млн Series B; compute назван ключевой статьёй конкуренции. </w:t>
      </w:r>
      <w:hyperlink r:id="rId12">
        <w:r>
          <w:rPr>
            <w:color w:val="1F5E8C"/>
            <w:u w:val="single"/>
          </w:rPr>
          <w:t>https://techcrunch.com/2026/08/17/higgsfield-raises-400m-series-b-quadrupling-its-valuation-in-8-months-to-5-4b/</w:t>
        </w:r>
      </w:hyperlink>
    </w:p>
    <w:p>
      <w:r>
        <w:rPr>
          <w:b/>
        </w:rPr>
        <w:t xml:space="preserve">TechCrunch, 15.01.2026 — </w:t>
      </w:r>
      <w:r>
        <w:t xml:space="preserve">История основателя, 15 млн пользователей и $200 млн annualized revenue run rate; переход к профессиональным social-media marketers. </w:t>
      </w:r>
      <w:hyperlink r:id="rId13">
        <w:r>
          <w:rPr>
            <w:color w:val="1F5E8C"/>
            <w:u w:val="single"/>
          </w:rPr>
          <w:t>https://techcrunch.com/2026/01/15/ai-video-startup-higgsfield-founded-by-ex-snap-exec-lands-1-3b-valuation/</w:t>
        </w:r>
      </w:hyperlink>
    </w:p>
    <w:p>
      <w:r>
        <w:rPr>
          <w:b/>
        </w:rPr>
        <w:t xml:space="preserve">TechCrunch, 03.04.2024 — </w:t>
      </w:r>
      <w:r>
        <w:t xml:space="preserve">Ранний запуск Diffuse; founders Alex Mashrabov и Yerzat Dulat; первоначальный creator/social-first wedge; mobile-first go-to-market. </w:t>
      </w:r>
      <w:hyperlink r:id="rId14">
        <w:r>
          <w:rPr>
            <w:color w:val="1F5E8C"/>
            <w:u w:val="single"/>
          </w:rPr>
          <w:t>https://techcrunch.com/2024/04/03/former-snap-ai-chief-launches-higgsfield-to-take-on-openais-sora-video-generator/</w:t>
        </w:r>
      </w:hyperlink>
    </w:p>
    <w:p>
      <w:r>
        <w:rPr>
          <w:b/>
        </w:rPr>
        <w:t xml:space="preserve">Higgsfield About — </w:t>
      </w:r>
      <w:r>
        <w:t xml:space="preserve">Текущая продуктовая линейка; на странице указаны 25 млн пользователей, 850 млн generations, 300 млн videos, ~6 млн generations/day, ~2 млн videos/day. Страница содержит часть показателей, которые могут отставать от пресс-релиза 17.08.2026. </w:t>
      </w:r>
      <w:hyperlink r:id="rId15">
        <w:r>
          <w:rPr>
            <w:color w:val="1F5E8C"/>
            <w:u w:val="single"/>
          </w:rPr>
          <w:t>https://higgsfield.ai/about</w:t>
        </w:r>
      </w:hyperlink>
    </w:p>
    <w:p>
      <w:r>
        <w:rPr>
          <w:b/>
        </w:rPr>
        <w:t xml:space="preserve">Higgsfield Help — plans — </w:t>
      </w:r>
      <w:r>
        <w:t xml:space="preserve">Individual и business plans; shared workspace, pooled credits, parallel generations; Team, Scale, Enterprise. </w:t>
      </w:r>
      <w:hyperlink r:id="rId16">
        <w:r>
          <w:rPr>
            <w:color w:val="1F5E8C"/>
            <w:u w:val="single"/>
          </w:rPr>
          <w:t>https://higgsfield.ai/creator-hub/help-center/plans/how-do-higgsfield-plans-work</w:t>
        </w:r>
      </w:hyperlink>
    </w:p>
    <w:p>
      <w:r>
        <w:rPr>
          <w:b/>
        </w:rPr>
        <w:t xml:space="preserve">Higgsfield Help — Team/Scale/Enterprise — </w:t>
      </w:r>
      <w:r>
        <w:t xml:space="preserve">Team до 9 seats; Scale до 15; Enterprise custom; различия по queue, SSO, spend controls, SOC 2, no-data-training и indemnification. </w:t>
      </w:r>
      <w:hyperlink r:id="rId17">
        <w:r>
          <w:rPr>
            <w:color w:val="1F5E8C"/>
            <w:u w:val="single"/>
          </w:rPr>
          <w:t>https://higgsfield.ai/creator-hub/help-center/business/team-and-business-higgsfield</w:t>
        </w:r>
      </w:hyperlink>
    </w:p>
    <w:p>
      <w:r>
        <w:rPr>
          <w:b/>
        </w:rPr>
        <w:t xml:space="preserve">Higgsfield Help — credits — </w:t>
      </w:r>
      <w:r>
        <w:t xml:space="preserve">Credits зависят от модели/разрешения/длительности; subscription credits сбрасываются; credit packs имеют отдельные правила. </w:t>
      </w:r>
      <w:hyperlink r:id="rId18">
        <w:r>
          <w:rPr>
            <w:color w:val="1F5E8C"/>
            <w:u w:val="single"/>
          </w:rPr>
          <w:t>https://higgsfield.ai/creator-hub/help-center/credits/how-do-credits-work</w:t>
        </w:r>
      </w:hyperlink>
    </w:p>
    <w:p>
      <w:r>
        <w:rPr>
          <w:b/>
        </w:rPr>
        <w:t xml:space="preserve">Higgsfield Help — credit packs — </w:t>
      </w:r>
      <w:r>
        <w:t xml:space="preserve">Фиксированные и adjustable credit packs; credits из pack действуют 90 дней и требуют active subscription. </w:t>
      </w:r>
      <w:hyperlink r:id="rId19">
        <w:r>
          <w:rPr>
            <w:color w:val="1F5E8C"/>
            <w:u w:val="single"/>
          </w:rPr>
          <w:t>https://higgsfield.ai/creator-hub/help-center/credits/how-credit-packs-work</w:t>
        </w:r>
      </w:hyperlink>
    </w:p>
    <w:p>
      <w:r>
        <w:rPr>
          <w:b/>
        </w:rPr>
        <w:t xml:space="preserve">Higgsfield Enterprise — </w:t>
      </w:r>
      <w:r>
        <w:t xml:space="preserve">50+ моделей в одном workspace; SSO/RBAC; dedicated capacity; commercial rights; no-train и indemnification в Enterprise. </w:t>
      </w:r>
      <w:hyperlink r:id="rId20">
        <w:r>
          <w:rPr>
            <w:color w:val="1F5E8C"/>
            <w:u w:val="single"/>
          </w:rPr>
          <w:t>https://higgsfield.ai/enterprise</w:t>
        </w:r>
      </w:hyperlink>
    </w:p>
    <w:p>
      <w:r>
        <w:rPr>
          <w:b/>
        </w:rPr>
        <w:t xml:space="preserve">OneLittleWeb, 2026 — </w:t>
      </w:r>
      <w:r>
        <w:t xml:space="preserve">По данным отчёта на базе Semrush/Ahrefs, Higgsfield лидировал в категории AI video generators по web visits за май 2025 — апрель 2026: 310,5 млн visits, 12,13% category share, +790,6% г/г. Это трафик, не число пользователей или платящих клиентов. </w:t>
      </w:r>
      <w:hyperlink r:id="rId21">
        <w:r>
          <w:rPr>
            <w:color w:val="1F5E8C"/>
            <w:u w:val="single"/>
          </w:rPr>
          <w:t>https://s3.amazonaws.com/media.mediapost.com/uploads/2026_AI_tools.pdf</w:t>
        </w:r>
      </w:hyperlink>
    </w:p>
    <w:p>
      <w:r>
        <w:rPr>
          <w:b/>
        </w:rPr>
        <w:t xml:space="preserve">TechCrunch, 10.02.2026 — </w:t>
      </w:r>
      <w:r>
        <w:t xml:space="preserve">Runway: $315 млн Series E при valuation $5,3 млрд — показатель интенсивной конкуренции и капиталоёмкости AI-video рынка. </w:t>
      </w:r>
      <w:hyperlink r:id="rId22">
        <w:r>
          <w:rPr>
            <w:color w:val="1F5E8C"/>
            <w:u w:val="single"/>
          </w:rPr>
          <w:t>https://techcrunch.com/2026/02/10/ai-video-startup-runway-raises-315m-at-5-3b-valuation-eyes-more-capable-world-models/</w:t>
        </w:r>
      </w:hyperlink>
    </w:p>
    <w:p>
      <w:r>
        <w:rPr>
          <w:b/>
        </w:rPr>
        <w:t xml:space="preserve">TechCrunch, 26.01.2026 — </w:t>
      </w:r>
      <w:r>
        <w:t xml:space="preserve">Synthesia: valuation $4 млрд; enterprise-video модель; &gt;$100 млн ARR достигнут в апреле 2025. </w:t>
      </w:r>
      <w:hyperlink r:id="rId23">
        <w:r>
          <w:rPr>
            <w:color w:val="1F5E8C"/>
            <w:u w:val="single"/>
          </w:rPr>
          <w:t>https://techcrunch.com/2026/01/26/synthesia-hits-4b-valuation-lets-employees-cash-in/</w:t>
        </w:r>
      </w:hyperlink>
    </w:p>
    <w:sectPr w:rsidR="00FC693F" w:rsidRPr="0006063C" w:rsidSect="00034616">
      <w:footerReference w:type="default" r:id="rId9"/>
      <w:pgSz w:w="12240" w:h="15840"/>
      <w:pgMar w:top="936" w:right="1037" w:bottom="936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mallMuted"/>
      <w:jc w:val="right"/>
    </w:pPr>
    <w:r>
      <w:t>Бизнес под микроскопом · Стартапы · фактчек 25.08.2026</w:t>
    </w:r>
    <w:r>
      <w:t xml:space="preserve">Стр.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C27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3263A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3263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B58A3A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200"/>
      <w:contextualSpacing/>
    </w:pPr>
    <w:rPr>
      <w:rFonts w:asciiTheme="majorHAnsi" w:eastAsiaTheme="majorEastAsia" w:hAnsiTheme="majorHAnsi" w:cstheme="majorBidi" w:ascii="Aptos Display" w:hAnsi="Aptos Display"/>
      <w:b/>
      <w:color w:val="13263A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Muted">
    <w:name w:val="Small Muted"/>
    <w:rPr>
      <w:rFonts w:ascii="Aptos" w:hAnsi="Aptos"/>
      <w:color w:val="5B6573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reuters.com/business/media-telecom/ai-video-startup-higgsfield-hits-13-billion-valuation-with-latest-funding-2026-01-15/" TargetMode="External"/><Relationship Id="rId11" Type="http://schemas.openxmlformats.org/officeDocument/2006/relationships/hyperlink" Target="https://www.reuters.com/business/media-telecom/higgsfields-valuation-soars-fourfold-54-billion-six-months-ai-content-demand-2026-08-17/" TargetMode="External"/><Relationship Id="rId12" Type="http://schemas.openxmlformats.org/officeDocument/2006/relationships/hyperlink" Target="https://techcrunch.com/2026/08/17/higgsfield-raises-400m-series-b-quadrupling-its-valuation-in-8-months-to-5-4b/" TargetMode="External"/><Relationship Id="rId13" Type="http://schemas.openxmlformats.org/officeDocument/2006/relationships/hyperlink" Target="https://techcrunch.com/2026/01/15/ai-video-startup-higgsfield-founded-by-ex-snap-exec-lands-1-3b-valuation/" TargetMode="External"/><Relationship Id="rId14" Type="http://schemas.openxmlformats.org/officeDocument/2006/relationships/hyperlink" Target="https://techcrunch.com/2024/04/03/former-snap-ai-chief-launches-higgsfield-to-take-on-openais-sora-video-generator/" TargetMode="External"/><Relationship Id="rId15" Type="http://schemas.openxmlformats.org/officeDocument/2006/relationships/hyperlink" Target="https://higgsfield.ai/about" TargetMode="External"/><Relationship Id="rId16" Type="http://schemas.openxmlformats.org/officeDocument/2006/relationships/hyperlink" Target="https://higgsfield.ai/creator-hub/help-center/plans/how-do-higgsfield-plans-work" TargetMode="External"/><Relationship Id="rId17" Type="http://schemas.openxmlformats.org/officeDocument/2006/relationships/hyperlink" Target="https://higgsfield.ai/creator-hub/help-center/business/team-and-business-higgsfield" TargetMode="External"/><Relationship Id="rId18" Type="http://schemas.openxmlformats.org/officeDocument/2006/relationships/hyperlink" Target="https://higgsfield.ai/creator-hub/help-center/credits/how-do-credits-work" TargetMode="External"/><Relationship Id="rId19" Type="http://schemas.openxmlformats.org/officeDocument/2006/relationships/hyperlink" Target="https://higgsfield.ai/creator-hub/help-center/credits/how-credit-packs-work" TargetMode="External"/><Relationship Id="rId20" Type="http://schemas.openxmlformats.org/officeDocument/2006/relationships/hyperlink" Target="https://higgsfield.ai/enterprise" TargetMode="External"/><Relationship Id="rId21" Type="http://schemas.openxmlformats.org/officeDocument/2006/relationships/hyperlink" Target="https://s3.amazonaws.com/media.mediapost.com/uploads/2026_AI_tools.pdf" TargetMode="External"/><Relationship Id="rId22" Type="http://schemas.openxmlformats.org/officeDocument/2006/relationships/hyperlink" Target="https://techcrunch.com/2026/02/10/ai-video-startup-runway-raises-315m-at-5-3b-valuation-eyes-more-capable-world-models/" TargetMode="External"/><Relationship Id="rId23" Type="http://schemas.openxmlformats.org/officeDocument/2006/relationships/hyperlink" Target="https://techcrunch.com/2026/01/26/synthesia-hits-4b-valuation-lets-employees-cash-i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