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ПРАКТИЧЕСКОЕ ДОСЬЕ ВНЕДРЕНИЯ</w:t>
      </w:r>
    </w:p>
    <w:p>
      <w:pPr>
        <w:pStyle w:val="Title"/>
      </w:pPr>
      <w:r>
        <w:t>ИИ-СОТРУДНИК — 2026</w:t>
      </w:r>
    </w:p>
    <w:p>
      <w:r>
        <w:rPr>
          <w:rFonts w:ascii="Georgia" w:hAnsi="Georgia"/>
          <w:color w:val="697181"/>
          <w:sz w:val="26"/>
        </w:rPr>
        <w:t>Что малый бизнес уже может передать цифровому агенту: процессы, ограничения, стоимость внедрения и безопасный сценарий пилота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71026"/>
            <w:vAlign w:val="center"/>
            <w:tcBorders>
              <w:top w:val="single" w:sz="5" w:color="DDD8CF"/>
              <w:left w:val="single" w:sz="5" w:color="DDD8CF"/>
              <w:bottom w:val="single" w:sz="5" w:color="DDD8CF"/>
              <w:right w:val="single" w:sz="5" w:color="DDD8C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ФАКТЧЕК</w:t>
            </w:r>
          </w:p>
        </w:tc>
        <w:tc>
          <w:tcPr>
            <w:tcW w:type="dxa" w:w="3389"/>
            <w:shd w:fill="071026"/>
            <w:vAlign w:val="center"/>
            <w:tcBorders>
              <w:top w:val="single" w:sz="5" w:color="DDD8CF"/>
              <w:left w:val="single" w:sz="5" w:color="DDD8CF"/>
              <w:bottom w:val="single" w:sz="5" w:color="DDD8CF"/>
              <w:right w:val="single" w:sz="5" w:color="DDD8C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ФОКУС</w:t>
            </w:r>
          </w:p>
        </w:tc>
        <w:tc>
          <w:tcPr>
            <w:tcW w:type="dxa" w:w="3389"/>
            <w:shd w:fill="071026"/>
            <w:vAlign w:val="center"/>
            <w:tcBorders>
              <w:top w:val="single" w:sz="5" w:color="DDD8CF"/>
              <w:left w:val="single" w:sz="5" w:color="DDD8CF"/>
              <w:bottom w:val="single" w:sz="5" w:color="DDD8CF"/>
              <w:right w:val="single" w:sz="5" w:color="DDD8C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ПОЗИЦИЯ</w:t>
            </w:r>
          </w:p>
        </w:tc>
      </w:tr>
      <w:tr>
        <w:tc>
          <w:tcPr>
            <w:tcW w:type="dxa" w:w="3389"/>
            <w:shd w:fill="F3EFE8"/>
            <w:vAlign w:val="center"/>
            <w:tcBorders>
              <w:top w:val="single" w:sz="5" w:color="DDD8CF"/>
              <w:left w:val="single" w:sz="5" w:color="DDD8CF"/>
              <w:bottom w:val="single" w:sz="5" w:color="DDD8CF"/>
              <w:right w:val="single" w:sz="5" w:color="DDD8CF"/>
            </w:tcBorders>
          </w:tcPr>
          <w:p>
            <w:pPr>
              <w:jc w:val="center"/>
            </w:pPr>
            <w:r>
              <w:rPr>
                <w:b/>
                <w:color w:val="0E1E35"/>
              </w:rPr>
              <w:t>30.08.2026</w:t>
            </w:r>
          </w:p>
        </w:tc>
        <w:tc>
          <w:tcPr>
            <w:tcW w:type="dxa" w:w="3389"/>
            <w:shd w:fill="F3EFE8"/>
            <w:vAlign w:val="center"/>
            <w:tcBorders>
              <w:top w:val="single" w:sz="5" w:color="DDD8CF"/>
              <w:left w:val="single" w:sz="5" w:color="DDD8CF"/>
              <w:bottom w:val="single" w:sz="5" w:color="DDD8CF"/>
              <w:right w:val="single" w:sz="5" w:color="DDD8CF"/>
            </w:tcBorders>
          </w:tcPr>
          <w:p>
            <w:pPr>
              <w:jc w:val="center"/>
            </w:pPr>
            <w:r>
              <w:rPr>
                <w:b/>
                <w:color w:val="0E1E35"/>
              </w:rPr>
              <w:t>малый бизнес РФ</w:t>
            </w:r>
          </w:p>
        </w:tc>
        <w:tc>
          <w:tcPr>
            <w:tcW w:type="dxa" w:w="3389"/>
            <w:shd w:fill="F3EFE8"/>
            <w:vAlign w:val="center"/>
            <w:tcBorders>
              <w:top w:val="single" w:sz="5" w:color="DDD8CF"/>
              <w:left w:val="single" w:sz="5" w:color="DDD8CF"/>
              <w:bottom w:val="single" w:sz="5" w:color="DDD8CF"/>
              <w:right w:val="single" w:sz="5" w:color="DDD8CF"/>
            </w:tcBorders>
          </w:tcPr>
          <w:p>
            <w:pPr>
              <w:jc w:val="center"/>
            </w:pPr>
            <w:r>
              <w:rPr>
                <w:b/>
                <w:color w:val="0E1E35"/>
              </w:rPr>
              <w:t>без привязки к сервису</w:t>
            </w:r>
          </w:p>
        </w:tc>
      </w:tr>
    </w:tbl>
    <w:p/>
    <w:p>
      <w:r>
        <w:rPr>
          <w:b/>
          <w:color w:val="D86B2B"/>
        </w:rPr>
        <w:t xml:space="preserve">Главный вопрос: </w:t>
      </w:r>
      <w:r>
        <w:t>какие процессы уже можно передать цифровому агенту, сколько это стоит и где автоматизация должна остановиться перед решением человека.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КОРОТКИЙ ВЫВОД</w:t>
            </w:r>
          </w:p>
          <w:p>
            <w:r>
              <w:t>В 2026 году «ИИ-сотрудник» имеет смысл не как замена человека целиком, а как управляемый цифровой исполнитель для повторяющихся многошаговых процессов. Самая сильная зона — сбор и проверка информации, подготовка черновиков, обновление систем, маршрутизация, мониторинг и отчётность. Самая опасная зона — деньги, юридически значимые решения, удаление данных и действия, которые трудно отменить.</w:t>
            </w:r>
          </w:p>
        </w:tc>
      </w:tr>
    </w:tbl>
    <w:p/>
    <w:p>
      <w:pPr>
        <w:pStyle w:val="Heading1"/>
      </w:pPr>
      <w:r>
        <w:t>1. Что здесь называется «ИИ-сотрудником»</w:t>
      </w:r>
    </w:p>
    <w:p>
      <w:r>
        <w:t>Обычная нейросеть отвечает на запрос. Цифровой агент получает цель, разбивает её на шаги, обращается к разрешённым источникам данных и инструментам, выполняет действия по правилам, фиксирует результат и при необходимости запрашивает подтверждение человека. Это уже не просто генерация текста, а управляемое выполнение процесса.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088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Подход</w:t>
            </w:r>
          </w:p>
        </w:tc>
        <w:tc>
          <w:tcPr>
            <w:tcW w:type="dxa" w:w="3168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умеет</w:t>
            </w:r>
          </w:p>
        </w:tc>
        <w:tc>
          <w:tcPr>
            <w:tcW w:type="dxa" w:w="3168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Где полезен</w:t>
            </w:r>
          </w:p>
        </w:tc>
        <w:tc>
          <w:tcPr>
            <w:tcW w:type="dxa" w:w="2880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Главное ограничение</w:t>
            </w:r>
          </w:p>
        </w:tc>
      </w:tr>
      <w:tr>
        <w:tc>
          <w:tcPr>
            <w:tcW w:type="dxa" w:w="2088"/>
            <w:vAlign w:val="top"/>
            <w:shd w:fill="FBFAF7"/>
          </w:tcPr>
          <w:p>
            <w:r>
              <w:rPr>
                <w:color w:val="0E1E35"/>
                <w:sz w:val="16"/>
              </w:rPr>
              <w:t>Обычная нейросеть</w:t>
            </w:r>
          </w:p>
        </w:tc>
        <w:tc>
          <w:tcPr>
            <w:tcW w:type="dxa" w:w="3168"/>
            <w:vAlign w:val="top"/>
            <w:shd w:fill="FBFAF7"/>
          </w:tcPr>
          <w:p>
            <w:r>
              <w:rPr>
                <w:color w:val="0E1E35"/>
                <w:sz w:val="16"/>
              </w:rPr>
              <w:t>Ответить, написать, суммировать, классифицировать</w:t>
            </w:r>
          </w:p>
        </w:tc>
        <w:tc>
          <w:tcPr>
            <w:tcW w:type="dxa" w:w="3168"/>
            <w:vAlign w:val="top"/>
            <w:shd w:fill="FBFAF7"/>
          </w:tcPr>
          <w:p>
            <w:r>
              <w:rPr>
                <w:color w:val="0E1E35"/>
                <w:sz w:val="16"/>
              </w:rPr>
              <w:t>Разовая интеллектуальная помощь</w:t>
            </w:r>
          </w:p>
        </w:tc>
        <w:tc>
          <w:tcPr>
            <w:tcW w:type="dxa" w:w="2880"/>
            <w:vAlign w:val="top"/>
            <w:shd w:fill="FBFAF7"/>
          </w:tcPr>
          <w:p>
            <w:r>
              <w:rPr>
                <w:color w:val="0E1E35"/>
                <w:sz w:val="16"/>
              </w:rPr>
              <w:t>Не действует в системах сама</w:t>
            </w:r>
          </w:p>
        </w:tc>
      </w:tr>
      <w:tr>
        <w:tc>
          <w:tcPr>
            <w:tcW w:type="dxa" w:w="2088"/>
            <w:vAlign w:val="top"/>
          </w:tcPr>
          <w:p>
            <w:r>
              <w:rPr>
                <w:color w:val="0E1E35"/>
                <w:sz w:val="16"/>
              </w:rPr>
              <w:t>Чат-бот по сценарию</w:t>
            </w:r>
          </w:p>
        </w:tc>
        <w:tc>
          <w:tcPr>
            <w:tcW w:type="dxa" w:w="3168"/>
            <w:vAlign w:val="top"/>
          </w:tcPr>
          <w:p>
            <w:r>
              <w:rPr>
                <w:color w:val="0E1E35"/>
                <w:sz w:val="16"/>
              </w:rPr>
              <w:t>Следовать заранее прописанным веткам</w:t>
            </w:r>
          </w:p>
        </w:tc>
        <w:tc>
          <w:tcPr>
            <w:tcW w:type="dxa" w:w="3168"/>
            <w:vAlign w:val="top"/>
          </w:tcPr>
          <w:p>
            <w:r>
              <w:rPr>
                <w:color w:val="0E1E35"/>
                <w:sz w:val="16"/>
              </w:rPr>
              <w:t>Типовые ответы и сбор данных</w:t>
            </w:r>
          </w:p>
        </w:tc>
        <w:tc>
          <w:tcPr>
            <w:tcW w:type="dxa" w:w="2880"/>
            <w:vAlign w:val="top"/>
          </w:tcPr>
          <w:p>
            <w:r>
              <w:rPr>
                <w:color w:val="0E1E35"/>
                <w:sz w:val="16"/>
              </w:rPr>
              <w:t>Плохо переносит нестандартные ситуации</w:t>
            </w:r>
          </w:p>
        </w:tc>
      </w:tr>
      <w:tr>
        <w:tc>
          <w:tcPr>
            <w:tcW w:type="dxa" w:w="2088"/>
            <w:vAlign w:val="top"/>
            <w:shd w:fill="FBFAF7"/>
          </w:tcPr>
          <w:p>
            <w:r>
              <w:rPr>
                <w:color w:val="0E1E35"/>
                <w:sz w:val="16"/>
              </w:rPr>
              <w:t>Классическая автоматизация</w:t>
            </w:r>
          </w:p>
        </w:tc>
        <w:tc>
          <w:tcPr>
            <w:tcW w:type="dxa" w:w="3168"/>
            <w:vAlign w:val="top"/>
            <w:shd w:fill="FBFAF7"/>
          </w:tcPr>
          <w:p>
            <w:r>
              <w:rPr>
                <w:color w:val="0E1E35"/>
                <w:sz w:val="16"/>
              </w:rPr>
              <w:t>Выполнять точные правила «если — то»</w:t>
            </w:r>
          </w:p>
        </w:tc>
        <w:tc>
          <w:tcPr>
            <w:tcW w:type="dxa" w:w="3168"/>
            <w:vAlign w:val="top"/>
            <w:shd w:fill="FBFAF7"/>
          </w:tcPr>
          <w:p>
            <w:r>
              <w:rPr>
                <w:color w:val="0E1E35"/>
                <w:sz w:val="16"/>
              </w:rPr>
              <w:t>Стабильные структурированные процессы</w:t>
            </w:r>
          </w:p>
        </w:tc>
        <w:tc>
          <w:tcPr>
            <w:tcW w:type="dxa" w:w="2880"/>
            <w:vAlign w:val="top"/>
            <w:shd w:fill="FBFAF7"/>
          </w:tcPr>
          <w:p>
            <w:r>
              <w:rPr>
                <w:color w:val="0E1E35"/>
                <w:sz w:val="16"/>
              </w:rPr>
              <w:t>Требует заранее описать почти все варианты</w:t>
            </w:r>
          </w:p>
        </w:tc>
      </w:tr>
      <w:tr>
        <w:tc>
          <w:tcPr>
            <w:tcW w:type="dxa" w:w="2088"/>
            <w:vAlign w:val="top"/>
          </w:tcPr>
          <w:p>
            <w:r>
              <w:rPr>
                <w:color w:val="0E1E35"/>
                <w:sz w:val="16"/>
              </w:rPr>
              <w:t>ИИ-агент</w:t>
            </w:r>
          </w:p>
        </w:tc>
        <w:tc>
          <w:tcPr>
            <w:tcW w:type="dxa" w:w="3168"/>
            <w:vAlign w:val="top"/>
          </w:tcPr>
          <w:p>
            <w:r>
              <w:rPr>
                <w:color w:val="0E1E35"/>
                <w:sz w:val="16"/>
              </w:rPr>
              <w:t>Понимать цель, выбирать шаги, использовать инструменты и контекст</w:t>
            </w:r>
          </w:p>
        </w:tc>
        <w:tc>
          <w:tcPr>
            <w:tcW w:type="dxa" w:w="3168"/>
            <w:vAlign w:val="top"/>
          </w:tcPr>
          <w:p>
            <w:r>
              <w:rPr>
                <w:color w:val="0E1E35"/>
                <w:sz w:val="16"/>
              </w:rPr>
              <w:t>Многошаговые процессы с вариативностью</w:t>
            </w:r>
          </w:p>
        </w:tc>
        <w:tc>
          <w:tcPr>
            <w:tcW w:type="dxa" w:w="2880"/>
            <w:vAlign w:val="top"/>
          </w:tcPr>
          <w:p>
            <w:r>
              <w:rPr>
                <w:color w:val="0E1E35"/>
                <w:sz w:val="16"/>
              </w:rPr>
              <w:t>Нужны границы, журнал действий и контроль качества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ПОЧЕМУ 2026 ГОД ВАЖЕН</w:t>
            </w:r>
          </w:p>
          <w:p>
            <w:r>
              <w:t>К августу 2026 года российские платформы уже документируют создание агентов, подключение внешних функций и баз знаний, интернет-поиск, многошаговые рабочие процессы и трассировку действий. Это делает пилоты доступными не только крупным компаниям. Но зрелость платформы не отменяет необходимость проектировать права, подтверждения, тесты и остановку при ошибке.</w:t>
            </w:r>
          </w:p>
        </w:tc>
      </w:tr>
    </w:tbl>
    <w:p/>
    <w:p>
      <w:pPr>
        <w:pStyle w:val="Heading1"/>
      </w:pPr>
      <w:r>
        <w:t>2. Из чего состоит рабочий цифровой агент</w:t>
      </w:r>
    </w:p>
    <w:p>
      <w:r>
        <w:rPr>
          <w:b/>
        </w:rPr>
        <w:t xml:space="preserve">Модель рассуждений. </w:t>
      </w:r>
      <w:r>
        <w:t>понимает задачу, формирует план и выбирает следующий шаг.</w:t>
      </w:r>
    </w:p>
    <w:p>
      <w:r>
        <w:rPr>
          <w:b/>
        </w:rPr>
        <w:t xml:space="preserve">Инструкция и правила. </w:t>
      </w:r>
      <w:r>
        <w:t>определяют цель, формат результата, запреты и пороги эскалации.</w:t>
      </w:r>
    </w:p>
    <w:p>
      <w:r>
        <w:rPr>
          <w:b/>
        </w:rPr>
        <w:t xml:space="preserve">Знания. </w:t>
      </w:r>
      <w:r>
        <w:t>регламенты, прайс-листы, карточки товаров, база ответов, внутренние документы.</w:t>
      </w:r>
    </w:p>
    <w:p>
      <w:r>
        <w:rPr>
          <w:b/>
        </w:rPr>
        <w:t xml:space="preserve">Инструменты. </w:t>
      </w:r>
      <w:r>
        <w:t>доступ к CRM, почте, таблицам, сайту, базе данных, поиску, трекеру задач и другим системам.</w:t>
      </w:r>
    </w:p>
    <w:p>
      <w:r>
        <w:rPr>
          <w:b/>
        </w:rPr>
        <w:t xml:space="preserve">Память процесса. </w:t>
      </w:r>
      <w:r>
        <w:t>хранит контекст текущего кейса и нужные промежуточные результаты.</w:t>
      </w:r>
    </w:p>
    <w:p>
      <w:r>
        <w:rPr>
          <w:b/>
        </w:rPr>
        <w:t xml:space="preserve">Контур контроля. </w:t>
      </w:r>
      <w:r>
        <w:t>подтверждение рискованных действий, ограничения прав, журналирование, мониторинг стоимости и ошибок.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ТЕХНИЧЕСКИЙ ТЕРМИН БЕЗ ЛИШНЕЙ МАГИИ</w:t>
            </w:r>
          </w:p>
          <w:p>
            <w:r>
              <w:t>Для подключения агента к внешним системам могут использоваться обычные API, вебхуки или стандартизированный протокол подключения инструментов MCP. Для собственника бизнеса важнее не название протокола, а ответ на три вопроса: что агент может прочитать, что он может изменить и какие действия требуют подтверждения.</w:t>
            </w:r>
          </w:p>
        </w:tc>
      </w:tr>
    </w:tbl>
    <w:p/>
    <w:p>
      <w:pPr>
        <w:pStyle w:val="Heading1"/>
      </w:pPr>
      <w:r>
        <w:t>3. Какие процессы малого бизнеса уже подходят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944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Процесс</w:t>
            </w:r>
          </w:p>
        </w:tc>
        <w:tc>
          <w:tcPr>
            <w:tcW w:type="dxa" w:w="3816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Что можно передать</w:t>
            </w:r>
          </w:p>
        </w:tc>
        <w:tc>
          <w:tcPr>
            <w:tcW w:type="dxa" w:w="3672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Что оставить человеку</w:t>
            </w:r>
          </w:p>
        </w:tc>
        <w:tc>
          <w:tcPr>
            <w:tcW w:type="dxa" w:w="1584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Готовность 2026</w:t>
            </w:r>
          </w:p>
        </w:tc>
      </w:tr>
      <w:tr>
        <w:tc>
          <w:tcPr>
            <w:tcW w:type="dxa" w:w="1944"/>
            <w:vAlign w:val="top"/>
            <w:shd w:fill="FBFAF7"/>
          </w:tcPr>
          <w:p>
            <w:r>
              <w:rPr>
                <w:color w:val="0E1E35"/>
                <w:sz w:val="15"/>
              </w:rPr>
              <w:t>Входящие заявки</w:t>
            </w:r>
          </w:p>
        </w:tc>
        <w:tc>
          <w:tcPr>
            <w:tcW w:type="dxa" w:w="3816"/>
            <w:vAlign w:val="top"/>
            <w:shd w:fill="FBFAF7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Классифицировать, задать уточняющие вопросы, подготовить карточку клиента, назначить ответственного</w:t>
            </w:r>
          </w:p>
        </w:tc>
        <w:tc>
          <w:tcPr>
            <w:tcW w:type="dxa" w:w="3672"/>
            <w:vAlign w:val="top"/>
            <w:shd w:fill="FBFAF7"/>
          </w:tcPr>
          <w:p>
            <w:r>
              <w:rPr>
                <w:color w:val="0E1E35"/>
                <w:sz w:val="15"/>
              </w:rPr>
              <w:t>Подтверждение для цен, скидок и нестандартных обещаний</w:t>
            </w:r>
          </w:p>
        </w:tc>
        <w:tc>
          <w:tcPr>
            <w:tcW w:type="dxa" w:w="1584"/>
            <w:vAlign w:val="top"/>
            <w:shd w:fill="FBFAF7"/>
          </w:tcPr>
          <w:p>
            <w:r>
              <w:rPr>
                <w:color w:val="0E1E35"/>
                <w:sz w:val="15"/>
              </w:rPr>
              <w:t>Высокая</w:t>
            </w:r>
          </w:p>
        </w:tc>
      </w:tr>
      <w:tr>
        <w:tc>
          <w:tcPr>
            <w:tcW w:type="dxa" w:w="1944"/>
            <w:vAlign w:val="top"/>
          </w:tcPr>
          <w:p>
            <w:r>
              <w:rPr>
                <w:color w:val="0E1E35"/>
                <w:sz w:val="15"/>
              </w:rPr>
              <w:t>CRM</w:t>
            </w:r>
          </w:p>
        </w:tc>
        <w:tc>
          <w:tcPr>
            <w:tcW w:type="dxa" w:w="3816"/>
            <w:vAlign w:val="top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Создавать карточки, заполнять поля, делать резюме переписки, ставить задачи, напоминать о «зависших» сделках</w:t>
            </w:r>
          </w:p>
        </w:tc>
        <w:tc>
          <w:tcPr>
            <w:tcW w:type="dxa" w:w="3672"/>
            <w:vAlign w:val="top"/>
          </w:tcPr>
          <w:p>
            <w:r>
              <w:rPr>
                <w:color w:val="0E1E35"/>
                <w:sz w:val="15"/>
              </w:rPr>
              <w:t>Не менять критичные стадии и суммы без правил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0E1E35"/>
                <w:sz w:val="15"/>
              </w:rPr>
              <w:t>Высокая</w:t>
            </w:r>
          </w:p>
        </w:tc>
      </w:tr>
      <w:tr>
        <w:tc>
          <w:tcPr>
            <w:tcW w:type="dxa" w:w="1944"/>
            <w:vAlign w:val="top"/>
            <w:shd w:fill="FBFAF7"/>
          </w:tcPr>
          <w:p>
            <w:r>
              <w:rPr>
                <w:color w:val="0E1E35"/>
                <w:sz w:val="15"/>
              </w:rPr>
              <w:t>Документы</w:t>
            </w:r>
          </w:p>
        </w:tc>
        <w:tc>
          <w:tcPr>
            <w:tcW w:type="dxa" w:w="3816"/>
            <w:vAlign w:val="top"/>
            <w:shd w:fill="FBFAF7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Извлекать реквизиты и поля, сравнивать версии, проверять комплектность, формировать реестр</w:t>
            </w:r>
          </w:p>
        </w:tc>
        <w:tc>
          <w:tcPr>
            <w:tcW w:type="dxa" w:w="3672"/>
            <w:vAlign w:val="top"/>
            <w:shd w:fill="FBFAF7"/>
          </w:tcPr>
          <w:p>
            <w:r>
              <w:rPr>
                <w:color w:val="0E1E35"/>
                <w:sz w:val="15"/>
              </w:rPr>
              <w:t>Юридические выводы и подпись — человеку</w:t>
            </w:r>
          </w:p>
        </w:tc>
        <w:tc>
          <w:tcPr>
            <w:tcW w:type="dxa" w:w="1584"/>
            <w:vAlign w:val="top"/>
            <w:shd w:fill="FBFAF7"/>
          </w:tcPr>
          <w:p>
            <w:r>
              <w:rPr>
                <w:color w:val="0E1E35"/>
                <w:sz w:val="15"/>
              </w:rPr>
              <w:t>Высокая</w:t>
            </w:r>
          </w:p>
        </w:tc>
      </w:tr>
      <w:tr>
        <w:tc>
          <w:tcPr>
            <w:tcW w:type="dxa" w:w="1944"/>
            <w:vAlign w:val="top"/>
          </w:tcPr>
          <w:p>
            <w:r>
              <w:rPr>
                <w:color w:val="0E1E35"/>
                <w:sz w:val="15"/>
              </w:rPr>
              <w:t>Закупки</w:t>
            </w:r>
          </w:p>
        </w:tc>
        <w:tc>
          <w:tcPr>
            <w:tcW w:type="dxa" w:w="3816"/>
            <w:vAlign w:val="top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Следить за остатками, собирать предложения, сравнивать условия, готовить заявку на закупку</w:t>
            </w:r>
          </w:p>
        </w:tc>
        <w:tc>
          <w:tcPr>
            <w:tcW w:type="dxa" w:w="3672"/>
            <w:vAlign w:val="top"/>
          </w:tcPr>
          <w:p>
            <w:r>
              <w:rPr>
                <w:color w:val="0E1E35"/>
                <w:sz w:val="15"/>
              </w:rPr>
              <w:t>Заказ и оплата — после подтверждения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0E1E35"/>
                <w:sz w:val="15"/>
              </w:rPr>
              <w:t>Средняя/высокая</w:t>
            </w:r>
          </w:p>
        </w:tc>
      </w:tr>
      <w:tr>
        <w:tc>
          <w:tcPr>
            <w:tcW w:type="dxa" w:w="1944"/>
            <w:vAlign w:val="top"/>
            <w:shd w:fill="FBFAF7"/>
          </w:tcPr>
          <w:p>
            <w:r>
              <w:rPr>
                <w:color w:val="0E1E35"/>
                <w:sz w:val="15"/>
              </w:rPr>
              <w:t>Клиентская поддержка</w:t>
            </w:r>
          </w:p>
        </w:tc>
        <w:tc>
          <w:tcPr>
            <w:tcW w:type="dxa" w:w="3816"/>
            <w:vAlign w:val="top"/>
            <w:shd w:fill="FBFAF7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Отвечать на типовые вопросы, проверять статус заказа, готовить инструкции, маршрутизировать сложные случаи</w:t>
            </w:r>
          </w:p>
        </w:tc>
        <w:tc>
          <w:tcPr>
            <w:tcW w:type="dxa" w:w="3672"/>
            <w:vAlign w:val="top"/>
            <w:shd w:fill="FBFAF7"/>
          </w:tcPr>
          <w:p>
            <w:r>
              <w:rPr>
                <w:color w:val="0E1E35"/>
                <w:sz w:val="15"/>
              </w:rPr>
              <w:t>Претензии, возвраты, конфликтные случаи — эскалация</w:t>
            </w:r>
          </w:p>
        </w:tc>
        <w:tc>
          <w:tcPr>
            <w:tcW w:type="dxa" w:w="1584"/>
            <w:vAlign w:val="top"/>
            <w:shd w:fill="FBFAF7"/>
          </w:tcPr>
          <w:p>
            <w:r>
              <w:rPr>
                <w:color w:val="0E1E35"/>
                <w:sz w:val="15"/>
              </w:rPr>
              <w:t>Высокая</w:t>
            </w:r>
          </w:p>
        </w:tc>
      </w:tr>
      <w:tr>
        <w:tc>
          <w:tcPr>
            <w:tcW w:type="dxa" w:w="1944"/>
            <w:vAlign w:val="top"/>
          </w:tcPr>
          <w:p>
            <w:r>
              <w:rPr>
                <w:color w:val="0E1E35"/>
                <w:sz w:val="15"/>
              </w:rPr>
              <w:t>Мониторинг конкурентов</w:t>
            </w:r>
          </w:p>
        </w:tc>
        <w:tc>
          <w:tcPr>
            <w:tcW w:type="dxa" w:w="3816"/>
            <w:vAlign w:val="top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Проверять сайты, цены, ассортимент, акции, изменения условий и собирать регулярную сводку</w:t>
            </w:r>
          </w:p>
        </w:tc>
        <w:tc>
          <w:tcPr>
            <w:tcW w:type="dxa" w:w="3672"/>
            <w:vAlign w:val="top"/>
          </w:tcPr>
          <w:p>
            <w:r>
              <w:rPr>
                <w:color w:val="0E1E35"/>
                <w:sz w:val="15"/>
              </w:rPr>
              <w:t>Нужна верификация источников и защита от ложных изменений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0E1E35"/>
                <w:sz w:val="15"/>
              </w:rPr>
              <w:t>Высокая</w:t>
            </w:r>
          </w:p>
        </w:tc>
      </w:tr>
      <w:tr>
        <w:tc>
          <w:tcPr>
            <w:tcW w:type="dxa" w:w="1944"/>
            <w:vAlign w:val="top"/>
            <w:shd w:fill="FBFAF7"/>
          </w:tcPr>
          <w:p>
            <w:r>
              <w:rPr>
                <w:color w:val="0E1E35"/>
                <w:sz w:val="15"/>
              </w:rPr>
              <w:t>Управленческие отчёты</w:t>
            </w:r>
          </w:p>
        </w:tc>
        <w:tc>
          <w:tcPr>
            <w:tcW w:type="dxa" w:w="3816"/>
            <w:vAlign w:val="top"/>
            <w:shd w:fill="FBFAF7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Собирать данные из разрешённых источников, объяснять отклонения, готовить ежедневные/недельные сводки</w:t>
            </w:r>
          </w:p>
        </w:tc>
        <w:tc>
          <w:tcPr>
            <w:tcW w:type="dxa" w:w="3672"/>
            <w:vAlign w:val="top"/>
            <w:shd w:fill="FBFAF7"/>
          </w:tcPr>
          <w:p>
            <w:r>
              <w:rPr>
                <w:color w:val="0E1E35"/>
                <w:sz w:val="15"/>
              </w:rPr>
              <w:t>Решение по бюджету и людям принимает руководитель</w:t>
            </w:r>
          </w:p>
        </w:tc>
        <w:tc>
          <w:tcPr>
            <w:tcW w:type="dxa" w:w="1584"/>
            <w:vAlign w:val="top"/>
            <w:shd w:fill="FBFAF7"/>
          </w:tcPr>
          <w:p>
            <w:r>
              <w:rPr>
                <w:color w:val="0E1E35"/>
                <w:sz w:val="15"/>
              </w:rPr>
              <w:t>Высокая</w:t>
            </w:r>
          </w:p>
        </w:tc>
      </w:tr>
      <w:tr>
        <w:tc>
          <w:tcPr>
            <w:tcW w:type="dxa" w:w="1944"/>
            <w:vAlign w:val="top"/>
          </w:tcPr>
          <w:p>
            <w:r>
              <w:rPr>
                <w:color w:val="0E1E35"/>
                <w:sz w:val="15"/>
              </w:rPr>
              <w:t>Маркетинг</w:t>
            </w:r>
          </w:p>
        </w:tc>
        <w:tc>
          <w:tcPr>
            <w:tcW w:type="dxa" w:w="3816"/>
            <w:vAlign w:val="top"/>
          </w:tcPr>
          <w:p>
            <w:pPr>
              <w:spacing w:after="40"/>
            </w:pPr>
            <w:r>
              <w:rPr>
                <w:color w:val="0E1E35"/>
                <w:sz w:val="15"/>
              </w:rPr>
              <w:t>Собирать варианты текстов, обновлять контент-план, анализировать обратную связь</w:t>
            </w:r>
          </w:p>
        </w:tc>
        <w:tc>
          <w:tcPr>
            <w:tcW w:type="dxa" w:w="3672"/>
            <w:vAlign w:val="top"/>
          </w:tcPr>
          <w:p>
            <w:r>
              <w:rPr>
                <w:color w:val="0E1E35"/>
                <w:sz w:val="15"/>
              </w:rPr>
              <w:t>Массовая отправка и публикация — по правилам/подтверждению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0E1E35"/>
                <w:sz w:val="15"/>
              </w:rPr>
              <w:t>Средняя</w:t>
            </w:r>
          </w:p>
        </w:tc>
      </w:tr>
    </w:tbl>
    <w:p/>
    <w:p>
      <w:pPr>
        <w:pStyle w:val="Heading1"/>
      </w:pPr>
      <w:r>
        <w:t>4. Сценарии применения: как это выглядит в реальной работе</w:t>
      </w:r>
    </w:p>
    <w:p>
      <w:pPr>
        <w:pStyle w:val="Heading2"/>
      </w:pPr>
      <w:r>
        <w:t>Сценарий 1. Обработка заявок</w:t>
      </w:r>
    </w:p>
    <w:p>
      <w:r>
        <w:t>Агент получает сообщение с сайта или мессенджера, определяет тип запроса, проверяет наличие обязательных данных, задаёт до трёх уточняющих вопросов, создаёт черновик карточки в CRM и ставит задачу менеджеру. Если вопрос типовой и цена фиксирована — может отправить утверждённый ответ. Если требуется скидка, нестандартный срок или юридическое обещание — останавливается и передаёт человеку.</w:t>
      </w:r>
    </w:p>
    <w:p>
      <w:r>
        <w:rPr>
          <w:b/>
        </w:rPr>
        <w:t xml:space="preserve">Зачем: </w:t>
      </w:r>
      <w:r>
        <w:t>Сократить потерю заявок и ручное переписывание данных между каналами.</w:t>
      </w:r>
    </w:p>
    <w:p>
      <w:r>
        <w:rPr>
          <w:b/>
        </w:rPr>
        <w:t xml:space="preserve">Что измерять: </w:t>
      </w:r>
      <w:r>
        <w:t>Время до первого ответа; доля карточек без ручного исправления; доля эскалаций; ошибки в полях CRM.</w:t>
      </w:r>
    </w:p>
    <w:p>
      <w:pPr>
        <w:pStyle w:val="Heading2"/>
      </w:pPr>
      <w:r>
        <w:t>Сценарий 2. Документы и первичная проверка</w:t>
      </w:r>
    </w:p>
    <w:p>
      <w:r>
        <w:t>Агент получает счёт, акт, договор или заявку, извлекает реквизиты, сравнивает с карточкой контрагента, отмечает отсутствующие поля и формирует реестр. Он может находить расхождения и готовить вопросы, но не должен самостоятельно подписывать документ или делать окончательный юридический вывод.</w:t>
      </w:r>
    </w:p>
    <w:p>
      <w:r>
        <w:rPr>
          <w:b/>
        </w:rPr>
        <w:t xml:space="preserve">Зачем: </w:t>
      </w:r>
      <w:r>
        <w:t>Убрать рутинный перенос данных и поиск пропусков.</w:t>
      </w:r>
    </w:p>
    <w:p>
      <w:r>
        <w:rPr>
          <w:b/>
        </w:rPr>
        <w:t xml:space="preserve">Что измерять: </w:t>
      </w:r>
      <w:r>
        <w:t>Точность извлечения полей; процент документов без доработки; число критичных пропусков.</w:t>
      </w:r>
    </w:p>
    <w:p>
      <w:pPr>
        <w:pStyle w:val="Heading2"/>
      </w:pPr>
      <w:r>
        <w:t>Сценарий 3. CRM-гигиена</w:t>
      </w:r>
    </w:p>
    <w:p>
      <w:r>
        <w:t>Раз в день агент ищет сделки без следующего шага, просроченные задачи, пустые поля и несогласованные статусы. Он готовит предложения или автоматически ставит безопасные служебные задачи в пределах правил.</w:t>
      </w:r>
    </w:p>
    <w:p>
      <w:r>
        <w:rPr>
          <w:b/>
        </w:rPr>
        <w:t xml:space="preserve">Зачем: </w:t>
      </w:r>
      <w:r>
        <w:t>Снизить «зависание» сделок и сделать воронку пригодной для управления.</w:t>
      </w:r>
    </w:p>
    <w:p>
      <w:r>
        <w:rPr>
          <w:b/>
        </w:rPr>
        <w:t xml:space="preserve">Что измерять: </w:t>
      </w:r>
      <w:r>
        <w:t>Доля карточек с заполненным следующим шагом; просроченные задачи; число ошибочных изменений.</w:t>
      </w:r>
    </w:p>
    <w:p>
      <w:pPr>
        <w:pStyle w:val="Heading2"/>
      </w:pPr>
      <w:r>
        <w:t>Сценарий 4. Закупки</w:t>
      </w:r>
    </w:p>
    <w:p>
      <w:r>
        <w:t>Агент получает порог остатка или заявку подразделения, ищет действующие предложения поставщиков в разрешённых источниках, сравнивает цену, срок, условия и формирует закупочную записку. Заказ, банковский платёж и изменение лимита остаются у человека.</w:t>
      </w:r>
    </w:p>
    <w:p>
      <w:r>
        <w:rPr>
          <w:b/>
        </w:rPr>
        <w:t xml:space="preserve">Зачем: </w:t>
      </w:r>
      <w:r>
        <w:t>Ускорить подготовительную часть закупки и сравнение условий.</w:t>
      </w:r>
    </w:p>
    <w:p>
      <w:r>
        <w:rPr>
          <w:b/>
        </w:rPr>
        <w:t xml:space="preserve">Что измерять: </w:t>
      </w:r>
      <w:r>
        <w:t>Время подготовки сравнения; доля корректно сопоставленных предложений; подтверждённая экономия времени.</w:t>
      </w:r>
    </w:p>
    <w:p>
      <w:pPr>
        <w:pStyle w:val="Heading2"/>
      </w:pPr>
      <w:r>
        <w:t>Сценарий 5. Мониторинг конкурентов</w:t>
      </w:r>
    </w:p>
    <w:p>
      <w:r>
        <w:t>По расписанию агент проверяет заранее заданный список сайтов и источников, фиксирует изменения цены, продукта, условий, вакансий или контента, отделяет значимые изменения от шума и формирует недельную сводку со ссылками.</w:t>
      </w:r>
    </w:p>
    <w:p>
      <w:r>
        <w:rPr>
          <w:b/>
        </w:rPr>
        <w:t xml:space="preserve">Зачем: </w:t>
      </w:r>
      <w:r>
        <w:t>Сделать мониторинг регулярным, а не «когда вспомнили».</w:t>
      </w:r>
    </w:p>
    <w:p>
      <w:r>
        <w:rPr>
          <w:b/>
        </w:rPr>
        <w:t xml:space="preserve">Что измерять: </w:t>
      </w:r>
      <w:r>
        <w:t>Доля подтверждённых изменений; ложные срабатывания; время на подготовку обзора.</w:t>
      </w:r>
    </w:p>
    <w:p>
      <w:pPr>
        <w:pStyle w:val="Heading2"/>
      </w:pPr>
      <w:r>
        <w:t>Сценарий 6. Управленческий отчёт</w:t>
      </w:r>
    </w:p>
    <w:p>
      <w:r>
        <w:t>Агент собирает данные из CRM, рекламных кабинетов и таблиц, сравнивает с предыдущим периодом и планом, отмечает аномалии и подготавливает вопросы руководителю.</w:t>
      </w:r>
    </w:p>
    <w:p>
      <w:r>
        <w:rPr>
          <w:b/>
        </w:rPr>
        <w:t xml:space="preserve">Зачем: </w:t>
      </w:r>
      <w:r>
        <w:t>Сократить подготовку отчёта и быстрее видеть отклонения.</w:t>
      </w:r>
    </w:p>
    <w:p>
      <w:r>
        <w:rPr>
          <w:b/>
        </w:rPr>
        <w:t xml:space="preserve">Что измерять: </w:t>
      </w:r>
      <w:r>
        <w:t>Время сборки отчёта; число найденных проблем; доля цифр, совпавших с первоисточниками.</w:t>
      </w:r>
    </w:p>
    <w:p>
      <w:pPr>
        <w:pStyle w:val="Heading1"/>
      </w:pPr>
      <w:r>
        <w:t>5. Уровни автономии: сколько свободы дать агенту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800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Уровень</w:t>
            </w:r>
          </w:p>
        </w:tc>
        <w:tc>
          <w:tcPr>
            <w:tcW w:type="dxa" w:w="3312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делает агент</w:t>
            </w:r>
          </w:p>
        </w:tc>
        <w:tc>
          <w:tcPr>
            <w:tcW w:type="dxa" w:w="3456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Пример</w:t>
            </w:r>
          </w:p>
        </w:tc>
        <w:tc>
          <w:tcPr>
            <w:tcW w:type="dxa" w:w="3024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Рекомендация</w:t>
            </w:r>
          </w:p>
        </w:tc>
      </w:tr>
      <w:tr>
        <w:tc>
          <w:tcPr>
            <w:tcW w:type="dxa" w:w="1800"/>
            <w:vAlign w:val="top"/>
            <w:shd w:fill="FBFAF7"/>
          </w:tcPr>
          <w:p>
            <w:r>
              <w:rPr>
                <w:color w:val="0E1E35"/>
                <w:sz w:val="16"/>
              </w:rPr>
              <w:t>0 — советник</w:t>
            </w:r>
          </w:p>
        </w:tc>
        <w:tc>
          <w:tcPr>
            <w:tcW w:type="dxa" w:w="3312"/>
            <w:vAlign w:val="top"/>
            <w:shd w:fill="FBFAF7"/>
          </w:tcPr>
          <w:p>
            <w:r>
              <w:rPr>
                <w:color w:val="0E1E35"/>
                <w:sz w:val="16"/>
              </w:rPr>
              <w:t>Только анализирует и предлагает</w:t>
            </w:r>
          </w:p>
        </w:tc>
        <w:tc>
          <w:tcPr>
            <w:tcW w:type="dxa" w:w="3456"/>
            <w:vAlign w:val="top"/>
            <w:shd w:fill="FBFAF7"/>
          </w:tcPr>
          <w:p>
            <w:r>
              <w:rPr>
                <w:color w:val="0E1E35"/>
                <w:sz w:val="16"/>
              </w:rPr>
              <w:t>Сводка конкурентов</w:t>
            </w:r>
          </w:p>
        </w:tc>
        <w:tc>
          <w:tcPr>
            <w:tcW w:type="dxa" w:w="3024"/>
            <w:vAlign w:val="top"/>
            <w:shd w:fill="FBFAF7"/>
          </w:tcPr>
          <w:p>
            <w:r>
              <w:rPr>
                <w:color w:val="0E1E35"/>
                <w:sz w:val="16"/>
              </w:rPr>
              <w:t>Безопасно для старта</w:t>
            </w:r>
          </w:p>
        </w:tc>
      </w:tr>
      <w:tr>
        <w:tc>
          <w:tcPr>
            <w:tcW w:type="dxa" w:w="1800"/>
            <w:vAlign w:val="top"/>
          </w:tcPr>
          <w:p>
            <w:r>
              <w:rPr>
                <w:color w:val="0E1E35"/>
                <w:sz w:val="16"/>
              </w:rPr>
              <w:t>1 — черновик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0E1E35"/>
                <w:sz w:val="16"/>
              </w:rPr>
              <w:t>Готовит документ/ответ/карточку, человек отправляет</w:t>
            </w:r>
          </w:p>
        </w:tc>
        <w:tc>
          <w:tcPr>
            <w:tcW w:type="dxa" w:w="3456"/>
            <w:vAlign w:val="top"/>
          </w:tcPr>
          <w:p>
            <w:r>
              <w:rPr>
                <w:color w:val="0E1E35"/>
                <w:sz w:val="16"/>
              </w:rPr>
              <w:t>Черновик ответа клиенту</w:t>
            </w:r>
          </w:p>
        </w:tc>
        <w:tc>
          <w:tcPr>
            <w:tcW w:type="dxa" w:w="3024"/>
            <w:vAlign w:val="top"/>
          </w:tcPr>
          <w:p>
            <w:r>
              <w:rPr>
                <w:color w:val="0E1E35"/>
                <w:sz w:val="16"/>
              </w:rPr>
              <w:t>Хороший первый пилот</w:t>
            </w:r>
          </w:p>
        </w:tc>
      </w:tr>
      <w:tr>
        <w:tc>
          <w:tcPr>
            <w:tcW w:type="dxa" w:w="1800"/>
            <w:vAlign w:val="top"/>
            <w:shd w:fill="FBFAF7"/>
          </w:tcPr>
          <w:p>
            <w:r>
              <w:rPr>
                <w:color w:val="0E1E35"/>
                <w:sz w:val="16"/>
              </w:rPr>
              <w:t>2 — действие с подтверждением</w:t>
            </w:r>
          </w:p>
        </w:tc>
        <w:tc>
          <w:tcPr>
            <w:tcW w:type="dxa" w:w="3312"/>
            <w:vAlign w:val="top"/>
            <w:shd w:fill="FBFAF7"/>
          </w:tcPr>
          <w:p>
            <w:r>
              <w:rPr>
                <w:color w:val="0E1E35"/>
                <w:sz w:val="16"/>
              </w:rPr>
              <w:t>Готовит действие и ждёт «да»</w:t>
            </w:r>
          </w:p>
        </w:tc>
        <w:tc>
          <w:tcPr>
            <w:tcW w:type="dxa" w:w="3456"/>
            <w:vAlign w:val="top"/>
            <w:shd w:fill="FBFAF7"/>
          </w:tcPr>
          <w:p>
            <w:r>
              <w:rPr>
                <w:color w:val="0E1E35"/>
                <w:sz w:val="16"/>
              </w:rPr>
              <w:t>Создать заказ поставщику</w:t>
            </w:r>
          </w:p>
        </w:tc>
        <w:tc>
          <w:tcPr>
            <w:tcW w:type="dxa" w:w="3024"/>
            <w:vAlign w:val="top"/>
            <w:shd w:fill="FBFAF7"/>
          </w:tcPr>
          <w:p>
            <w:r>
              <w:rPr>
                <w:color w:val="0E1E35"/>
                <w:sz w:val="16"/>
              </w:rPr>
              <w:t>Оптимальный режим для большинства процессов</w:t>
            </w:r>
          </w:p>
        </w:tc>
      </w:tr>
      <w:tr>
        <w:tc>
          <w:tcPr>
            <w:tcW w:type="dxa" w:w="1800"/>
            <w:vAlign w:val="top"/>
          </w:tcPr>
          <w:p>
            <w:r>
              <w:rPr>
                <w:color w:val="0E1E35"/>
                <w:sz w:val="16"/>
              </w:rPr>
              <w:t>3 — ограниченная автономия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0E1E35"/>
                <w:sz w:val="16"/>
              </w:rPr>
              <w:t>Сам выполняет низкорисковые действия в заданных лимитах</w:t>
            </w:r>
          </w:p>
        </w:tc>
        <w:tc>
          <w:tcPr>
            <w:tcW w:type="dxa" w:w="3456"/>
            <w:vAlign w:val="top"/>
          </w:tcPr>
          <w:p>
            <w:r>
              <w:rPr>
                <w:color w:val="0E1E35"/>
                <w:sz w:val="16"/>
              </w:rPr>
              <w:t>Поставить задачу, обновить служебное поле</w:t>
            </w:r>
          </w:p>
        </w:tc>
        <w:tc>
          <w:tcPr>
            <w:tcW w:type="dxa" w:w="3024"/>
            <w:vAlign w:val="top"/>
          </w:tcPr>
          <w:p>
            <w:r>
              <w:rPr>
                <w:color w:val="0E1E35"/>
                <w:sz w:val="16"/>
              </w:rPr>
              <w:t>Допустимо после успешного пилота</w:t>
            </w:r>
          </w:p>
        </w:tc>
      </w:tr>
      <w:tr>
        <w:tc>
          <w:tcPr>
            <w:tcW w:type="dxa" w:w="1800"/>
            <w:vAlign w:val="top"/>
            <w:shd w:fill="FBFAF7"/>
          </w:tcPr>
          <w:p>
            <w:r>
              <w:rPr>
                <w:color w:val="0E1E35"/>
                <w:sz w:val="16"/>
              </w:rPr>
              <w:t>4 — сквозная автономия</w:t>
            </w:r>
          </w:p>
        </w:tc>
        <w:tc>
          <w:tcPr>
            <w:tcW w:type="dxa" w:w="3312"/>
            <w:vAlign w:val="top"/>
            <w:shd w:fill="FBFAF7"/>
          </w:tcPr>
          <w:p>
            <w:r>
              <w:rPr>
                <w:color w:val="0E1E35"/>
                <w:sz w:val="16"/>
              </w:rPr>
              <w:t>Сам выбирает и выполняет цепочку действий</w:t>
            </w:r>
          </w:p>
        </w:tc>
        <w:tc>
          <w:tcPr>
            <w:tcW w:type="dxa" w:w="3456"/>
            <w:vAlign w:val="top"/>
            <w:shd w:fill="FBFAF7"/>
          </w:tcPr>
          <w:p>
            <w:r>
              <w:rPr>
                <w:color w:val="0E1E35"/>
                <w:sz w:val="16"/>
              </w:rPr>
              <w:t>Полный процесс без человека</w:t>
            </w:r>
          </w:p>
        </w:tc>
        <w:tc>
          <w:tcPr>
            <w:tcW w:type="dxa" w:w="3024"/>
            <w:vAlign w:val="top"/>
            <w:shd w:fill="FBFAF7"/>
          </w:tcPr>
          <w:p>
            <w:r>
              <w:rPr>
                <w:color w:val="0E1E35"/>
                <w:sz w:val="16"/>
              </w:rPr>
              <w:t>Для малого бизнеса — только в обратимых, низкорисковых процессах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ПРАВИЛО БЕЗОПАСНОСТИ</w:t>
            </w:r>
          </w:p>
          <w:p>
            <w:r>
              <w:t>Чем труднее отменить действие, тем меньше автономии. Платёж, подпись, увольнение, возврат денег, удаление данных, изменение цены или условий договора не должны становиться «следующим шагом модели» без отдельного подтверждения и ограничений.</w:t>
            </w:r>
          </w:p>
        </w:tc>
      </w:tr>
    </w:tbl>
    <w:p/>
    <w:p>
      <w:pPr>
        <w:pStyle w:val="Heading1"/>
      </w:pPr>
      <w:r>
        <w:t>6. Где технология чаще всего ломается</w:t>
      </w:r>
    </w:p>
    <w:p>
      <w:pPr>
        <w:pStyle w:val="ListBullet"/>
      </w:pPr>
      <w:r>
        <w:t>Процесс не описан. Если сотрудники сами выполняют одну и ту же задачу по-разному, агент масштабирует хаос.</w:t>
      </w:r>
    </w:p>
    <w:p>
      <w:pPr>
        <w:pStyle w:val="ListBullet"/>
      </w:pPr>
      <w:r>
        <w:t>Данные грязные. Дубли, устаревшие прайсы и пустые поля делают автоматизацию быстрее, но не точнее.</w:t>
      </w:r>
    </w:p>
    <w:p>
      <w:pPr>
        <w:pStyle w:val="ListBullet"/>
      </w:pPr>
      <w:r>
        <w:t>Слишком широкие права. Агенту дают доступ «администратор», хотя нужен один справочник и одно поле.</w:t>
      </w:r>
    </w:p>
    <w:p>
      <w:pPr>
        <w:pStyle w:val="ListBullet"/>
      </w:pPr>
      <w:r>
        <w:t>Нет подтверждений. Модель получает возможность отправлять, покупать или удалять без контрольной точки.</w:t>
      </w:r>
    </w:p>
    <w:p>
      <w:pPr>
        <w:pStyle w:val="ListBullet"/>
      </w:pPr>
      <w:r>
        <w:t>Нет тестового набора. Пилот проверяют на пяти красивых примерах и не показывают пограничные случаи.</w:t>
      </w:r>
    </w:p>
    <w:p>
      <w:pPr>
        <w:pStyle w:val="ListBullet"/>
      </w:pPr>
      <w:r>
        <w:t>Нет журнала. После ошибки невозможно восстановить, что агент увидел, какое правило применил и какой инструмент вызвал.</w:t>
      </w:r>
    </w:p>
    <w:p>
      <w:pPr>
        <w:pStyle w:val="ListBullet"/>
      </w:pPr>
      <w:r>
        <w:t>Экономика считается только по токенам. Реальная стоимость включает интеграции, сопровождение, контроль качества, исправление ошибок и владельца процесса.</w:t>
      </w:r>
    </w:p>
    <w:p>
      <w:pPr>
        <w:pStyle w:val="Heading1"/>
      </w:pPr>
      <w:r>
        <w:t>7. Сколько это стоит: не цена нейросети, а цена системы</w:t>
      </w:r>
    </w:p>
    <w:p>
      <w:r>
        <w:t>Токены модели — лишь одна строка расходов. В августе 2026 года официальные тарифы российских платформ показывают, что сама генерация текста при умеренном объёме может стоить от сотен до нескольких тысяч рублей в месяц. Но итоговая стоимость агента обычно определяется не только моделью: нужны интеграции, хранение данных, права доступа, тесты, наблюдаемость и регулярная донастройка.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016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Состав затрат</w:t>
            </w:r>
          </w:p>
        </w:tc>
        <w:tc>
          <w:tcPr>
            <w:tcW w:type="dxa" w:w="4608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входит</w:t>
            </w:r>
          </w:p>
        </w:tc>
        <w:tc>
          <w:tcPr>
            <w:tcW w:type="dxa" w:w="3744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Как считать</w:t>
            </w:r>
          </w:p>
        </w:tc>
      </w:tr>
      <w:tr>
        <w:tc>
          <w:tcPr>
            <w:tcW w:type="dxa" w:w="2016"/>
            <w:vAlign w:val="top"/>
            <w:shd w:fill="FBFAF7"/>
          </w:tcPr>
          <w:p>
            <w:r>
              <w:rPr>
                <w:color w:val="0E1E35"/>
                <w:sz w:val="16"/>
              </w:rPr>
              <w:t>Разовое внедрение</w:t>
            </w:r>
          </w:p>
        </w:tc>
        <w:tc>
          <w:tcPr>
            <w:tcW w:type="dxa" w:w="4608"/>
            <w:vAlign w:val="top"/>
            <w:shd w:fill="FBFAF7"/>
          </w:tcPr>
          <w:p>
            <w:r>
              <w:rPr>
                <w:color w:val="0E1E35"/>
                <w:sz w:val="16"/>
              </w:rPr>
              <w:t>Описание процесса, интеграции, правила, тесты, запуск</w:t>
            </w:r>
          </w:p>
        </w:tc>
        <w:tc>
          <w:tcPr>
            <w:tcW w:type="dxa" w:w="3744"/>
            <w:vAlign w:val="top"/>
            <w:shd w:fill="FBFAF7"/>
          </w:tcPr>
          <w:p>
            <w:r>
              <w:rPr>
                <w:color w:val="0E1E35"/>
                <w:sz w:val="16"/>
              </w:rPr>
              <w:t>Часы команды/подрядчика + разовые сервисы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0E1E35"/>
                <w:sz w:val="16"/>
              </w:rPr>
              <w:t>Модель</w:t>
            </w:r>
          </w:p>
        </w:tc>
        <w:tc>
          <w:tcPr>
            <w:tcW w:type="dxa" w:w="4608"/>
            <w:vAlign w:val="top"/>
          </w:tcPr>
          <w:p>
            <w:r>
              <w:rPr>
                <w:color w:val="0E1E35"/>
                <w:sz w:val="16"/>
              </w:rPr>
              <w:t>Входные, выходные, кешированные и/или инструментальные токены</w:t>
            </w:r>
          </w:p>
        </w:tc>
        <w:tc>
          <w:tcPr>
            <w:tcW w:type="dxa" w:w="3744"/>
            <w:vAlign w:val="top"/>
          </w:tcPr>
          <w:p>
            <w:r>
              <w:rPr>
                <w:color w:val="0E1E35"/>
                <w:sz w:val="16"/>
              </w:rPr>
              <w:t>По фактическому потреблению выбранной платформы</w:t>
            </w:r>
          </w:p>
        </w:tc>
      </w:tr>
      <w:tr>
        <w:tc>
          <w:tcPr>
            <w:tcW w:type="dxa" w:w="2016"/>
            <w:vAlign w:val="top"/>
            <w:shd w:fill="FBFAF7"/>
          </w:tcPr>
          <w:p>
            <w:r>
              <w:rPr>
                <w:color w:val="0E1E35"/>
                <w:sz w:val="16"/>
              </w:rPr>
              <w:t>Интеграции</w:t>
            </w:r>
          </w:p>
        </w:tc>
        <w:tc>
          <w:tcPr>
            <w:tcW w:type="dxa" w:w="4608"/>
            <w:vAlign w:val="top"/>
            <w:shd w:fill="FBFAF7"/>
          </w:tcPr>
          <w:p>
            <w:r>
              <w:rPr>
                <w:color w:val="0E1E35"/>
                <w:sz w:val="16"/>
              </w:rPr>
              <w:t>Шлюзы, функции, база, очереди, поиск, распознавание</w:t>
            </w:r>
          </w:p>
        </w:tc>
        <w:tc>
          <w:tcPr>
            <w:tcW w:type="dxa" w:w="3744"/>
            <w:vAlign w:val="top"/>
            <w:shd w:fill="FBFAF7"/>
          </w:tcPr>
          <w:p>
            <w:r>
              <w:rPr>
                <w:color w:val="0E1E35"/>
                <w:sz w:val="16"/>
              </w:rPr>
              <w:t>По тарифам конкретной архитектуры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0E1E35"/>
                <w:sz w:val="16"/>
              </w:rPr>
              <w:t>Контроль качества</w:t>
            </w:r>
          </w:p>
        </w:tc>
        <w:tc>
          <w:tcPr>
            <w:tcW w:type="dxa" w:w="4608"/>
            <w:vAlign w:val="top"/>
          </w:tcPr>
          <w:p>
            <w:r>
              <w:rPr>
                <w:color w:val="0E1E35"/>
                <w:sz w:val="16"/>
              </w:rPr>
              <w:t>Выборочная проверка, разбор ошибок, обновление инструкций</w:t>
            </w:r>
          </w:p>
        </w:tc>
        <w:tc>
          <w:tcPr>
            <w:tcW w:type="dxa" w:w="3744"/>
            <w:vAlign w:val="top"/>
          </w:tcPr>
          <w:p>
            <w:r>
              <w:rPr>
                <w:color w:val="0E1E35"/>
                <w:sz w:val="16"/>
              </w:rPr>
              <w:t>Часы ответственного сотрудника</w:t>
            </w:r>
          </w:p>
        </w:tc>
      </w:tr>
      <w:tr>
        <w:tc>
          <w:tcPr>
            <w:tcW w:type="dxa" w:w="2016"/>
            <w:vAlign w:val="top"/>
            <w:shd w:fill="FBFAF7"/>
          </w:tcPr>
          <w:p>
            <w:r>
              <w:rPr>
                <w:color w:val="0E1E35"/>
                <w:sz w:val="16"/>
              </w:rPr>
              <w:t>Поддержка</w:t>
            </w:r>
          </w:p>
        </w:tc>
        <w:tc>
          <w:tcPr>
            <w:tcW w:type="dxa" w:w="4608"/>
            <w:vAlign w:val="top"/>
            <w:shd w:fill="FBFAF7"/>
          </w:tcPr>
          <w:p>
            <w:r>
              <w:rPr>
                <w:color w:val="0E1E35"/>
                <w:sz w:val="16"/>
              </w:rPr>
              <w:t>Изменения процесса, обновления систем, новые кейсы</w:t>
            </w:r>
          </w:p>
        </w:tc>
        <w:tc>
          <w:tcPr>
            <w:tcW w:type="dxa" w:w="3744"/>
            <w:vAlign w:val="top"/>
            <w:shd w:fill="FBFAF7"/>
          </w:tcPr>
          <w:p>
            <w:r>
              <w:rPr>
                <w:color w:val="0E1E35"/>
                <w:sz w:val="16"/>
              </w:rPr>
              <w:t>Фиксированно или по часам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0E1E35"/>
                <w:sz w:val="16"/>
              </w:rPr>
              <w:t>Цена ошибки</w:t>
            </w:r>
          </w:p>
        </w:tc>
        <w:tc>
          <w:tcPr>
            <w:tcW w:type="dxa" w:w="4608"/>
            <w:vAlign w:val="top"/>
          </w:tcPr>
          <w:p>
            <w:r>
              <w:rPr>
                <w:color w:val="0E1E35"/>
                <w:sz w:val="16"/>
              </w:rPr>
              <w:t>Возвраты, потерянная заявка, неверный документ, инцидент</w:t>
            </w:r>
          </w:p>
        </w:tc>
        <w:tc>
          <w:tcPr>
            <w:tcW w:type="dxa" w:w="3744"/>
            <w:vAlign w:val="top"/>
          </w:tcPr>
          <w:p>
            <w:r>
              <w:rPr>
                <w:color w:val="0E1E35"/>
                <w:sz w:val="16"/>
              </w:rPr>
              <w:t>Отдельный риск-бюджет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ТЕКУЩИЕ ОРИЕНТИРЫ ТАРИФОВ, А НЕ «СТОИМОСТЬ ИИ-СОТРУДНИКА»</w:t>
            </w:r>
          </w:p>
          <w:p>
            <w:r>
              <w:t>GigaChat API для юрлиц с июля 2026 года указывает 0,065 ₽ за 1000 токенов Lite, 0,5 ₽ Pro и 0,65 ₽ Max в синхронном режиме, с минимальным платежом 600 ₽ в месяце использования. Yandex AI Studio для DeepSeek V4 Flash публиковала 0,3 ₽ за 1000 входных токенов и 0,5 ₽ за 1000 выходных. Эти цифры показывают только цену вычислений и не включают внедрение, интеграции и контроль.</w:t>
            </w:r>
          </w:p>
        </w:tc>
      </w:tr>
    </w:tbl>
    <w:p/>
    <w:p>
      <w:pPr>
        <w:pStyle w:val="Heading1"/>
      </w:pPr>
      <w:r>
        <w:t>8. Базовый расчёт: когда пилот имеет смысл</w:t>
      </w:r>
    </w:p>
    <w:p>
      <w:r>
        <w:t>Для рабочей модели в приложенном Excel взят не «средний рынок», а редактируемый сценарий. Он нужен, чтобы предприниматель заменил вводные своими данными. В стартовом примере агент обрабатывает заявки, поддерживает CRM, разбирает типовые документы, готовит отчёт, мониторит конкурентов и закрывает часть типовой поддержки.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880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Показатель</w:t>
            </w:r>
          </w:p>
        </w:tc>
        <w:tc>
          <w:tcPr>
            <w:tcW w:type="dxa" w:w="2448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Сценарное значение</w:t>
            </w:r>
          </w:p>
        </w:tc>
        <w:tc>
          <w:tcPr>
            <w:tcW w:type="dxa" w:w="4752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Почему важно</w:t>
            </w:r>
          </w:p>
        </w:tc>
      </w:tr>
      <w:tr>
        <w:tc>
          <w:tcPr>
            <w:tcW w:type="dxa" w:w="2880"/>
            <w:vAlign w:val="top"/>
            <w:shd w:fill="FBFAF7"/>
          </w:tcPr>
          <w:p>
            <w:r>
              <w:rPr>
                <w:color w:val="0E1E35"/>
                <w:sz w:val="16"/>
              </w:rPr>
              <w:t>Высвобождаемое время</w:t>
            </w:r>
          </w:p>
        </w:tc>
        <w:tc>
          <w:tcPr>
            <w:tcW w:type="dxa" w:w="2448"/>
            <w:vAlign w:val="top"/>
            <w:shd w:fill="FBFAF7"/>
          </w:tcPr>
          <w:p>
            <w:r>
              <w:rPr>
                <w:color w:val="0E1E35"/>
                <w:sz w:val="16"/>
              </w:rPr>
              <w:t>≈ 51,8 ч/мес.</w:t>
            </w:r>
          </w:p>
        </w:tc>
        <w:tc>
          <w:tcPr>
            <w:tcW w:type="dxa" w:w="4752"/>
            <w:vAlign w:val="top"/>
            <w:shd w:fill="FBFAF7"/>
          </w:tcPr>
          <w:p>
            <w:r>
              <w:rPr>
                <w:color w:val="0E1E35"/>
                <w:sz w:val="16"/>
              </w:rPr>
              <w:t>Сумма по конкретным процессам, а не «процент от должности»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0E1E35"/>
                <w:sz w:val="16"/>
              </w:rPr>
              <w:t>Полная стоимость часа</w:t>
            </w:r>
          </w:p>
        </w:tc>
        <w:tc>
          <w:tcPr>
            <w:tcW w:type="dxa" w:w="2448"/>
            <w:vAlign w:val="top"/>
          </w:tcPr>
          <w:p>
            <w:r>
              <w:rPr>
                <w:color w:val="0E1E35"/>
                <w:sz w:val="16"/>
              </w:rPr>
              <w:t>700 ₽</w:t>
            </w:r>
          </w:p>
        </w:tc>
        <w:tc>
          <w:tcPr>
            <w:tcW w:type="dxa" w:w="4752"/>
            <w:vAlign w:val="top"/>
          </w:tcPr>
          <w:p>
            <w:r>
              <w:rPr>
                <w:color w:val="0E1E35"/>
                <w:sz w:val="16"/>
              </w:rPr>
              <w:t>Редактируемая вводная</w:t>
            </w:r>
          </w:p>
        </w:tc>
      </w:tr>
      <w:tr>
        <w:tc>
          <w:tcPr>
            <w:tcW w:type="dxa" w:w="2880"/>
            <w:vAlign w:val="top"/>
            <w:shd w:fill="FBFAF7"/>
          </w:tcPr>
          <w:p>
            <w:r>
              <w:rPr>
                <w:color w:val="0E1E35"/>
                <w:sz w:val="16"/>
              </w:rPr>
              <w:t>Коэффициент реализованного эффекта</w:t>
            </w:r>
          </w:p>
        </w:tc>
        <w:tc>
          <w:tcPr>
            <w:tcW w:type="dxa" w:w="2448"/>
            <w:vAlign w:val="top"/>
            <w:shd w:fill="FBFAF7"/>
          </w:tcPr>
          <w:p>
            <w:r>
              <w:rPr>
                <w:color w:val="0E1E35"/>
                <w:sz w:val="16"/>
              </w:rPr>
              <w:t>80%</w:t>
            </w:r>
          </w:p>
        </w:tc>
        <w:tc>
          <w:tcPr>
            <w:tcW w:type="dxa" w:w="4752"/>
            <w:vAlign w:val="top"/>
            <w:shd w:fill="FBFAF7"/>
          </w:tcPr>
          <w:p>
            <w:r>
              <w:rPr>
                <w:color w:val="0E1E35"/>
                <w:sz w:val="16"/>
              </w:rPr>
              <w:t>Учитывает ошибки и неполное принятие процесса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0E1E35"/>
                <w:sz w:val="16"/>
              </w:rPr>
              <w:t>Технологические расходы</w:t>
            </w:r>
          </w:p>
        </w:tc>
        <w:tc>
          <w:tcPr>
            <w:tcW w:type="dxa" w:w="2448"/>
            <w:vAlign w:val="top"/>
          </w:tcPr>
          <w:p>
            <w:r>
              <w:rPr>
                <w:color w:val="0E1E35"/>
                <w:sz w:val="16"/>
              </w:rPr>
              <w:t>12 000 ₽/мес.</w:t>
            </w:r>
          </w:p>
        </w:tc>
        <w:tc>
          <w:tcPr>
            <w:tcW w:type="dxa" w:w="4752"/>
            <w:vAlign w:val="top"/>
          </w:tcPr>
          <w:p>
            <w:r>
              <w:rPr>
                <w:color w:val="0E1E35"/>
                <w:sz w:val="16"/>
              </w:rPr>
              <w:t>Модель + интеграции + поддержка — сценарий</w:t>
            </w:r>
          </w:p>
        </w:tc>
      </w:tr>
      <w:tr>
        <w:tc>
          <w:tcPr>
            <w:tcW w:type="dxa" w:w="2880"/>
            <w:vAlign w:val="top"/>
            <w:shd w:fill="FBFAF7"/>
          </w:tcPr>
          <w:p>
            <w:r>
              <w:rPr>
                <w:color w:val="0E1E35"/>
                <w:sz w:val="16"/>
              </w:rPr>
              <w:t>Разовые затраты</w:t>
            </w:r>
          </w:p>
        </w:tc>
        <w:tc>
          <w:tcPr>
            <w:tcW w:type="dxa" w:w="2448"/>
            <w:vAlign w:val="top"/>
            <w:shd w:fill="FBFAF7"/>
          </w:tcPr>
          <w:p>
            <w:r>
              <w:rPr>
                <w:color w:val="0E1E35"/>
                <w:sz w:val="16"/>
              </w:rPr>
              <w:t>95 000 ₽</w:t>
            </w:r>
          </w:p>
        </w:tc>
        <w:tc>
          <w:tcPr>
            <w:tcW w:type="dxa" w:w="4752"/>
            <w:vAlign w:val="top"/>
            <w:shd w:fill="FBFAF7"/>
          </w:tcPr>
          <w:p>
            <w:r>
              <w:rPr>
                <w:color w:val="0E1E35"/>
                <w:sz w:val="16"/>
              </w:rPr>
              <w:t>Сценарий пилота и интеграций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0E1E35"/>
                <w:sz w:val="16"/>
              </w:rPr>
              <w:t>Чистый эффект</w:t>
            </w:r>
          </w:p>
        </w:tc>
        <w:tc>
          <w:tcPr>
            <w:tcW w:type="dxa" w:w="2448"/>
            <w:vAlign w:val="top"/>
          </w:tcPr>
          <w:p>
            <w:r>
              <w:rPr>
                <w:color w:val="0E1E35"/>
                <w:sz w:val="16"/>
              </w:rPr>
              <w:t>≈ 12,8 тыс. ₽/мес.</w:t>
            </w:r>
          </w:p>
        </w:tc>
        <w:tc>
          <w:tcPr>
            <w:tcW w:type="dxa" w:w="4752"/>
            <w:vAlign w:val="top"/>
          </w:tcPr>
          <w:p>
            <w:r>
              <w:rPr>
                <w:color w:val="0E1E35"/>
                <w:sz w:val="16"/>
              </w:rPr>
              <w:t>Без предположения о росте выручки</w:t>
            </w:r>
          </w:p>
        </w:tc>
      </w:tr>
      <w:tr>
        <w:tc>
          <w:tcPr>
            <w:tcW w:type="dxa" w:w="2880"/>
            <w:vAlign w:val="top"/>
            <w:shd w:fill="FBFAF7"/>
          </w:tcPr>
          <w:p>
            <w:r>
              <w:rPr>
                <w:color w:val="0E1E35"/>
                <w:sz w:val="16"/>
              </w:rPr>
              <w:t>Окупаемость</w:t>
            </w:r>
          </w:p>
        </w:tc>
        <w:tc>
          <w:tcPr>
            <w:tcW w:type="dxa" w:w="2448"/>
            <w:vAlign w:val="top"/>
            <w:shd w:fill="FBFAF7"/>
          </w:tcPr>
          <w:p>
            <w:r>
              <w:rPr>
                <w:color w:val="0E1E35"/>
                <w:sz w:val="16"/>
              </w:rPr>
              <w:t>≈ 7,4 мес.</w:t>
            </w:r>
          </w:p>
        </w:tc>
        <w:tc>
          <w:tcPr>
            <w:tcW w:type="dxa" w:w="4752"/>
            <w:vAlign w:val="top"/>
            <w:shd w:fill="FBFAF7"/>
          </w:tcPr>
          <w:p>
            <w:r>
              <w:rPr>
                <w:color w:val="0E1E35"/>
                <w:sz w:val="16"/>
              </w:rPr>
              <w:t>Меняется после замены вводных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ПОЧЕМУ РАСЧЁТ КОНСЕРВАТИВНЫЙ</w:t>
            </w:r>
          </w:p>
          <w:p>
            <w:r>
              <w:t>Мы сознательно не добавляем «рост продаж от более быстрого ответа» в базовый эффект. Такой эффект можно считать только после пилота, если данные покажут реальное изменение конверсии.</w:t>
            </w:r>
          </w:p>
        </w:tc>
      </w:tr>
    </w:tbl>
    <w:p/>
    <w:p>
      <w:pPr>
        <w:pStyle w:val="Heading1"/>
      </w:pPr>
      <w:r>
        <w:t>9. Персональные данные и конфиденциальность</w:t>
      </w:r>
    </w:p>
    <w:p>
      <w:r>
        <w:t>Если агент получает клиентские обращения, CRM, документы, телефоны, электронную почту или кадровые данные, это уже вопрос обработки персональных данных, а не просто «использования нейросети». При выборе архитектуры нужно определить оператора данных, правовое основание обработки, перечень передаваемых данных, договорные обязанности исполнителя и местонахождение баз данных.</w:t>
      </w:r>
    </w:p>
    <w:p>
      <w:pPr>
        <w:pStyle w:val="ListBullet"/>
      </w:pPr>
      <w:r>
        <w:t>Не отправлять в модель «всё подряд». Передавать минимально необходимый набор данных для конкретного действия.</w:t>
      </w:r>
    </w:p>
    <w:p>
      <w:pPr>
        <w:pStyle w:val="ListBullet"/>
      </w:pPr>
      <w:r>
        <w:t>Если обработка поручается внешнему лицу, договор/поручение должен определять перечень данных, операции, цели, конфиденциальность и требования безопасности.</w:t>
      </w:r>
    </w:p>
    <w:p>
      <w:pPr>
        <w:pStyle w:val="ListBullet"/>
      </w:pPr>
      <w:r>
        <w:t>При сборе персональных данных граждан РФ через интернет необходимо учитывать действующие требования локализации баз данных.</w:t>
      </w:r>
    </w:p>
    <w:p>
      <w:pPr>
        <w:pStyle w:val="ListBullet"/>
      </w:pPr>
      <w:r>
        <w:t>Секреты доступа хранить отдельно от инструкции агента; ключи не должны быть частью промпта или открытого файла.</w:t>
      </w:r>
    </w:p>
    <w:p>
      <w:pPr>
        <w:pStyle w:val="ListBullet"/>
      </w:pPr>
      <w:r>
        <w:t>Для критичных систем использовать отдельную техническую учётную запись с минимальными правами и возможностью быстрого отключения.</w:t>
      </w:r>
    </w:p>
    <w:p>
      <w:pPr>
        <w:pStyle w:val="Heading1"/>
      </w:pPr>
      <w:r>
        <w:t>10. Кому уже стоит внедрять в 2026 году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160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Ситуация</w:t>
            </w:r>
          </w:p>
        </w:tc>
        <w:tc>
          <w:tcPr>
            <w:tcW w:type="dxa" w:w="4320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Сигнал «да»</w:t>
            </w:r>
          </w:p>
        </w:tc>
        <w:tc>
          <w:tcPr>
            <w:tcW w:type="dxa" w:w="4320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Сигнал «пока нет»</w:t>
            </w:r>
          </w:p>
        </w:tc>
      </w:tr>
      <w:tr>
        <w:tc>
          <w:tcPr>
            <w:tcW w:type="dxa" w:w="2160"/>
            <w:vAlign w:val="top"/>
            <w:shd w:fill="FBFAF7"/>
          </w:tcPr>
          <w:p>
            <w:r>
              <w:rPr>
                <w:color w:val="0E1E35"/>
                <w:sz w:val="16"/>
              </w:rPr>
              <w:t>Много заявок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Повторяются типы вопросов, есть CRM, важна скорость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10–20 обращений в месяц и каждый кейс уникален</w:t>
            </w:r>
          </w:p>
        </w:tc>
      </w:tr>
      <w:tr>
        <w:tc>
          <w:tcPr>
            <w:tcW w:type="dxa" w:w="2160"/>
            <w:vAlign w:val="top"/>
          </w:tcPr>
          <w:p>
            <w:r>
              <w:rPr>
                <w:color w:val="0E1E35"/>
                <w:sz w:val="16"/>
              </w:rPr>
              <w:t>Документы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Много однотипных форм и ручного переноса данных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Документы редкие и каждый требует экспертного решения</w:t>
            </w:r>
          </w:p>
        </w:tc>
      </w:tr>
      <w:tr>
        <w:tc>
          <w:tcPr>
            <w:tcW w:type="dxa" w:w="2160"/>
            <w:vAlign w:val="top"/>
            <w:shd w:fill="FBFAF7"/>
          </w:tcPr>
          <w:p>
            <w:r>
              <w:rPr>
                <w:color w:val="0E1E35"/>
                <w:sz w:val="16"/>
              </w:rPr>
              <w:t>Отчётность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Данные уже есть в цифровых системах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Цифры собираются вручную из бумажных источников</w:t>
            </w:r>
          </w:p>
        </w:tc>
      </w:tr>
      <w:tr>
        <w:tc>
          <w:tcPr>
            <w:tcW w:type="dxa" w:w="2160"/>
            <w:vAlign w:val="top"/>
          </w:tcPr>
          <w:p>
            <w:r>
              <w:rPr>
                <w:color w:val="0E1E35"/>
                <w:sz w:val="16"/>
              </w:rPr>
              <w:t>Закупки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Есть повторяемые категории и список поставщиков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Каждая закупка уникальна и зависит от переговоров</w:t>
            </w:r>
          </w:p>
        </w:tc>
      </w:tr>
      <w:tr>
        <w:tc>
          <w:tcPr>
            <w:tcW w:type="dxa" w:w="2160"/>
            <w:vAlign w:val="top"/>
            <w:shd w:fill="FBFAF7"/>
          </w:tcPr>
          <w:p>
            <w:r>
              <w:rPr>
                <w:color w:val="0E1E35"/>
                <w:sz w:val="16"/>
              </w:rPr>
              <w:t>Поддержка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Большая доля типовых вопросов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Большинство обращений конфликтные/нестандартные</w:t>
            </w:r>
          </w:p>
        </w:tc>
      </w:tr>
      <w:tr>
        <w:tc>
          <w:tcPr>
            <w:tcW w:type="dxa" w:w="2160"/>
            <w:vAlign w:val="top"/>
          </w:tcPr>
          <w:p>
            <w:r>
              <w:rPr>
                <w:color w:val="0E1E35"/>
                <w:sz w:val="16"/>
              </w:rPr>
              <w:t>Мониторинг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Нужна регулярность по фиксированным источникам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Непонятно, что именно считать значимым изменением</w:t>
            </w:r>
          </w:p>
        </w:tc>
      </w:tr>
    </w:tbl>
    <w:p/>
    <w:p>
      <w:pPr>
        <w:pStyle w:val="Heading1"/>
      </w:pPr>
      <w:r>
        <w:t>11. Пилот за 30 дней</w:t>
      </w:r>
    </w:p>
    <w:p>
      <w:pPr>
        <w:pStyle w:val="ListNumber"/>
      </w:pPr>
      <w:r>
        <w:t>Неделя 1 — выбрать один процесс, измерить ручный объём, ошибки и время, описать вход/выход и запретные действия.</w:t>
      </w:r>
    </w:p>
    <w:p>
      <w:pPr>
        <w:pStyle w:val="ListNumber"/>
      </w:pPr>
      <w:r>
        <w:t>Неделя 2 — подключить только чтение данных и режим «черновик». Собрать минимум 50 реальных тестовых кейсов, включая неприятные и пограничные.</w:t>
      </w:r>
    </w:p>
    <w:p>
      <w:pPr>
        <w:pStyle w:val="ListNumber"/>
      </w:pPr>
      <w:r>
        <w:t>Неделя 3 — разрешить одно-два низкорисковых действия с подтверждением человека. Включить журнал и лимит затрат.</w:t>
      </w:r>
    </w:p>
    <w:p>
      <w:pPr>
        <w:pStyle w:val="ListNumber"/>
      </w:pPr>
      <w:r>
        <w:t>Неделя 4 — сравнить качество, время, стоимость и количество инцидентов. Решение принимать по факту: масштабировать, доработать или остановить.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СТОП-УСЛОВИЯ ПИЛОТА</w:t>
            </w:r>
          </w:p>
          <w:p>
            <w:r>
              <w:t>Критический инцидент, невозможность восстановить цепочку действий, систематические ошибки в персональных данных, доля ошибочных действий выше заданного порога, отсутствие экономии после учёта контроля качества или необходимость постоянно «спасать» процесс вручную.</w:t>
            </w:r>
          </w:p>
        </w:tc>
      </w:tr>
    </w:tbl>
    <w:p/>
    <w:p>
      <w:pPr>
        <w:pStyle w:val="Heading1"/>
      </w:pPr>
      <w:r>
        <w:t>12. Готовый теоретический пример</w:t>
      </w:r>
    </w:p>
    <w:p>
      <w:r>
        <w:t>Компания: сервисный малый бизнес, 8 сотрудников. В месяц — около 350 коммерческих заявок, 500 типовых обращений действующих клиентов, 80 типовых документов, еженедельный управленческий отчёт и регулярный мониторинг конкурентов. CRM уже используется, но менеджеры вручную переносят данные и готовят сводки.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72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Этап</w:t>
            </w:r>
          </w:p>
        </w:tc>
        <w:tc>
          <w:tcPr>
            <w:tcW w:type="dxa" w:w="4752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делает агент</w:t>
            </w:r>
          </w:p>
        </w:tc>
        <w:tc>
          <w:tcPr>
            <w:tcW w:type="dxa" w:w="4320"/>
            <w:shd w:fill="0710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делает человек</w:t>
            </w:r>
          </w:p>
        </w:tc>
      </w:tr>
      <w:tr>
        <w:tc>
          <w:tcPr>
            <w:tcW w:type="dxa" w:w="1872"/>
            <w:vAlign w:val="top"/>
            <w:shd w:fill="FBFAF7"/>
          </w:tcPr>
          <w:p>
            <w:r>
              <w:rPr>
                <w:color w:val="0E1E35"/>
                <w:sz w:val="16"/>
              </w:rPr>
              <w:t>1. Входящий запрос</w:t>
            </w:r>
          </w:p>
        </w:tc>
        <w:tc>
          <w:tcPr>
            <w:tcW w:type="dxa" w:w="4752"/>
            <w:vAlign w:val="top"/>
            <w:shd w:fill="FBFAF7"/>
          </w:tcPr>
          <w:p>
            <w:r>
              <w:rPr>
                <w:color w:val="0E1E35"/>
                <w:sz w:val="16"/>
              </w:rPr>
              <w:t>Определяет тип обращения, извлекает данные, задаёт уточнения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Подключается к нестандартным или конфликтным случаям</w:t>
            </w:r>
          </w:p>
        </w:tc>
      </w:tr>
      <w:tr>
        <w:tc>
          <w:tcPr>
            <w:tcW w:type="dxa" w:w="1872"/>
            <w:vAlign w:val="top"/>
          </w:tcPr>
          <w:p>
            <w:r>
              <w:rPr>
                <w:color w:val="0E1E35"/>
                <w:sz w:val="16"/>
              </w:rPr>
              <w:t>2. CRM</w:t>
            </w:r>
          </w:p>
        </w:tc>
        <w:tc>
          <w:tcPr>
            <w:tcW w:type="dxa" w:w="4752"/>
            <w:vAlign w:val="top"/>
          </w:tcPr>
          <w:p>
            <w:r>
              <w:rPr>
                <w:color w:val="0E1E35"/>
                <w:sz w:val="16"/>
              </w:rPr>
              <w:t>Создаёт/обновляет карточку и ставит служебную задачу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Подтверждает коммерческие условия</w:t>
            </w:r>
          </w:p>
        </w:tc>
      </w:tr>
      <w:tr>
        <w:tc>
          <w:tcPr>
            <w:tcW w:type="dxa" w:w="1872"/>
            <w:vAlign w:val="top"/>
            <w:shd w:fill="FBFAF7"/>
          </w:tcPr>
          <w:p>
            <w:r>
              <w:rPr>
                <w:color w:val="0E1E35"/>
                <w:sz w:val="16"/>
              </w:rPr>
              <w:t>3. Документы</w:t>
            </w:r>
          </w:p>
        </w:tc>
        <w:tc>
          <w:tcPr>
            <w:tcW w:type="dxa" w:w="4752"/>
            <w:vAlign w:val="top"/>
            <w:shd w:fill="FBFAF7"/>
          </w:tcPr>
          <w:p>
            <w:r>
              <w:rPr>
                <w:color w:val="0E1E35"/>
                <w:sz w:val="16"/>
              </w:rPr>
              <w:t>Извлекает реквизиты и отмечает пропуски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Проверяет спорные поля и юридическую часть</w:t>
            </w:r>
          </w:p>
        </w:tc>
      </w:tr>
      <w:tr>
        <w:tc>
          <w:tcPr>
            <w:tcW w:type="dxa" w:w="1872"/>
            <w:vAlign w:val="top"/>
          </w:tcPr>
          <w:p>
            <w:r>
              <w:rPr>
                <w:color w:val="0E1E35"/>
                <w:sz w:val="16"/>
              </w:rPr>
              <w:t>4. Клиентский ответ</w:t>
            </w:r>
          </w:p>
        </w:tc>
        <w:tc>
          <w:tcPr>
            <w:tcW w:type="dxa" w:w="4752"/>
            <w:vAlign w:val="top"/>
          </w:tcPr>
          <w:p>
            <w:r>
              <w:rPr>
                <w:color w:val="0E1E35"/>
                <w:sz w:val="16"/>
              </w:rPr>
              <w:t>Отправляет типовой утверждённый ответ или готовит черновик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0E1E35"/>
                <w:sz w:val="16"/>
              </w:rPr>
              <w:t>Подтверждает нестандартный ответ</w:t>
            </w:r>
          </w:p>
        </w:tc>
      </w:tr>
      <w:tr>
        <w:tc>
          <w:tcPr>
            <w:tcW w:type="dxa" w:w="1872"/>
            <w:vAlign w:val="top"/>
            <w:shd w:fill="FBFAF7"/>
          </w:tcPr>
          <w:p>
            <w:r>
              <w:rPr>
                <w:color w:val="0E1E35"/>
                <w:sz w:val="16"/>
              </w:rPr>
              <w:t>5. Отчёт</w:t>
            </w:r>
          </w:p>
        </w:tc>
        <w:tc>
          <w:tcPr>
            <w:tcW w:type="dxa" w:w="4752"/>
            <w:vAlign w:val="top"/>
            <w:shd w:fill="FBFAF7"/>
          </w:tcPr>
          <w:p>
            <w:r>
              <w:rPr>
                <w:color w:val="0E1E35"/>
                <w:sz w:val="16"/>
              </w:rPr>
              <w:t>Собирает недельную сводку и отклонения</w:t>
            </w:r>
          </w:p>
        </w:tc>
        <w:tc>
          <w:tcPr>
            <w:tcW w:type="dxa" w:w="4320"/>
            <w:vAlign w:val="top"/>
            <w:shd w:fill="FBFAF7"/>
          </w:tcPr>
          <w:p>
            <w:r>
              <w:rPr>
                <w:color w:val="0E1E35"/>
                <w:sz w:val="16"/>
              </w:rPr>
              <w:t>Принимает решения по людям, бюджету и приоритетам</w:t>
            </w:r>
          </w:p>
        </w:tc>
      </w:tr>
    </w:tbl>
    <w:p/>
    <w:p>
      <w:r>
        <w:t>По базовой модели высвобождается около 51,8 часа в месяц, но в экономический эффект засчитывается только 80% этой величины. При сценарных разовых затратах 95 тыс. ₽ и регулярных расходах 12 тыс. ₽ в месяц окупаемость получается около 7,4 месяца. Это не прогноз рынка, а демонстрация метода расчёта.</w:t>
      </w:r>
    </w:p>
    <w:p>
      <w:pPr>
        <w:pStyle w:val="Heading1"/>
      </w:pPr>
      <w:r>
        <w:t>13. Как выбирать платформу без рекламной привязки</w:t>
      </w:r>
    </w:p>
    <w:p>
      <w:pPr>
        <w:pStyle w:val="ListBullet"/>
      </w:pPr>
      <w:r>
        <w:t>Поддерживает ли платформа нужную модель развертывания и требования к данным?</w:t>
      </w:r>
    </w:p>
    <w:p>
      <w:pPr>
        <w:pStyle w:val="ListBullet"/>
      </w:pPr>
      <w:r>
        <w:t>Можно ли ограничить права агента и требовать подтверждение конкретных инструментов?</w:t>
      </w:r>
    </w:p>
    <w:p>
      <w:pPr>
        <w:pStyle w:val="ListBullet"/>
      </w:pPr>
      <w:r>
        <w:t>Есть ли журнал действий, трассировка вызовов и детализация расходов?</w:t>
      </w:r>
    </w:p>
    <w:p>
      <w:pPr>
        <w:pStyle w:val="ListBullet"/>
      </w:pPr>
      <w:r>
        <w:t>Можно ли подключить ваши CRM, почту, базу документов, сайт и другие системы безопасным способом?</w:t>
      </w:r>
    </w:p>
    <w:p>
      <w:pPr>
        <w:pStyle w:val="ListBullet"/>
      </w:pPr>
      <w:r>
        <w:t>Есть ли возможность сменить модель без полной переделки бизнес-логики?</w:t>
      </w:r>
    </w:p>
    <w:p>
      <w:pPr>
        <w:pStyle w:val="ListBullet"/>
      </w:pPr>
      <w:r>
        <w:t>Как устроено хранение запросов и результатов? Можно ли отключить логирование или использовать изолированный контур при необходимости?</w:t>
      </w:r>
    </w:p>
    <w:p>
      <w:pPr>
        <w:pStyle w:val="ListBullet"/>
      </w:pPr>
      <w:r>
        <w:t>Как быстро отключить агента и вернуться к ручному процессу?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4" w:color="DDD8CF"/>
              <w:left w:val="single" w:sz="18" w:color="D86B2B"/>
              <w:bottom w:val="single" w:sz="4" w:color="DDD8CF"/>
              <w:right w:val="single" w:sz="4" w:color="DDD8CF"/>
            </w:tcBorders>
          </w:tcPr>
          <w:p>
            <w:r>
              <w:rPr>
                <w:b/>
                <w:color w:val="D86B2B"/>
                <w:sz w:val="18"/>
              </w:rPr>
              <w:t>ЧТО НЕ СЛЕДУЕТ ДЕЛАТЬ</w:t>
            </w:r>
          </w:p>
          <w:p>
            <w:r>
              <w:t>Не покупать «универсального ИИ-сотрудника» до выбора процесса. Сначала измеряется одна конкретная рутина и стоимость её выполнения, затем собирается пилот. Продукт, который обещает заменить менеджера, бухгалтера и закупщика одной кнопкой, требует особенно жёсткой проверки границ и качества.</w:t>
            </w:r>
          </w:p>
        </w:tc>
      </w:tr>
    </w:tbl>
    <w:p/>
    <w:p>
      <w:pPr>
        <w:pStyle w:val="Heading1"/>
      </w:pPr>
      <w:r>
        <w:t>14. Итоговый вердикт</w:t>
      </w:r>
    </w:p>
    <w:p>
      <w:r>
        <w:rPr>
          <w:b/>
          <w:color w:val="3F7D55"/>
        </w:rPr>
        <w:t xml:space="preserve">ПИЛОТ — ДА, «ЗАМЕНА СОТРУДНИКА» — НЕТ. </w:t>
      </w:r>
      <w:r>
        <w:t>В 2026 году малый бизнес уже может передавать агенту значительную часть повторяющейся цифровой рутины, если процесс измерим, данные доступны, действия обратимы и есть человек, отвечающий за качество. Экономический смысл появляется там, где агент забирает десятки часов повторяющейся работы в месяц, а не просто генерирует красивые тексты.</w:t>
      </w:r>
    </w:p>
    <w:p>
      <w:pPr>
        <w:pStyle w:val="Heading1"/>
      </w:pPr>
      <w:r>
        <w:t>Источники и дата фактчека</w:t>
      </w:r>
    </w:p>
    <w:p>
      <w:r>
        <w:t>Проверено 30 августа 2026 года. Вендорские материалы используются только как подтверждение доступных технических возможностей и текущих тарифов; рекламные оценки поставщиков не принимаются за независимую статистику эффективности.</w:t>
      </w:r>
    </w:p>
    <w:p>
      <w:pPr>
        <w:pStyle w:val="Small"/>
      </w:pPr>
      <w:r>
        <w:rPr>
          <w:b/>
        </w:rPr>
        <w:t xml:space="preserve">Yandex AI Studio — </w:t>
      </w:r>
      <w:r>
        <w:t xml:space="preserve">официальная документация платформы ИИ-приложений и агентов. </w:t>
      </w:r>
      <w:hyperlink r:id="rId11">
        <w:r>
          <w:rPr>
            <w:color w:val="0B57D0"/>
            <w:u w:val="single"/>
          </w:rPr>
          <w:t>https://yandex.cloud/ru/docs/ai-studio/</w:t>
        </w:r>
      </w:hyperlink>
    </w:p>
    <w:p>
      <w:pPr>
        <w:pStyle w:val="Small"/>
      </w:pPr>
      <w:r>
        <w:rPr>
          <w:b/>
        </w:rPr>
        <w:t xml:space="preserve">Yandex AI Studio — инструменты — </w:t>
      </w:r>
      <w:r>
        <w:t xml:space="preserve">подключение внешних функций, данных и вычислительных инструментов. </w:t>
      </w:r>
      <w:hyperlink r:id="rId12">
        <w:r>
          <w:rPr>
            <w:color w:val="0B57D0"/>
            <w:u w:val="single"/>
          </w:rPr>
          <w:t>https://yandex.cloud/ru/docs/ai-studio/sdk-ref/sync/tools</w:t>
        </w:r>
      </w:hyperlink>
    </w:p>
    <w:p>
      <w:pPr>
        <w:pStyle w:val="Small"/>
      </w:pPr>
      <w:r>
        <w:rPr>
          <w:b/>
        </w:rPr>
        <w:t xml:space="preserve">Yandex Cloud — Workflows — </w:t>
      </w:r>
      <w:r>
        <w:t xml:space="preserve">многошаговые процессы и оркестрация; статус Preview. </w:t>
      </w:r>
      <w:hyperlink r:id="rId13">
        <w:r>
          <w:rPr>
            <w:color w:val="0B57D0"/>
            <w:u w:val="single"/>
          </w:rPr>
          <w:t>https://yandex.cloud/ru/docs/serverless-integrations/quickstart/workflows</w:t>
        </w:r>
      </w:hyperlink>
    </w:p>
    <w:p>
      <w:pPr>
        <w:pStyle w:val="Small"/>
      </w:pPr>
      <w:r>
        <w:rPr>
          <w:b/>
        </w:rPr>
        <w:t xml:space="preserve">Yandex Cloud — тарификация Serverless Integrations — </w:t>
      </w:r>
      <w:r>
        <w:t xml:space="preserve">Workflows и EventRouter на стадии Preview не тарифицируются. </w:t>
      </w:r>
      <w:hyperlink r:id="rId14">
        <w:r>
          <w:rPr>
            <w:color w:val="0B57D0"/>
            <w:u w:val="single"/>
          </w:rPr>
          <w:t>https://yandex.cloud/ru/docs/serverless-integrations/pricing</w:t>
        </w:r>
      </w:hyperlink>
    </w:p>
    <w:p>
      <w:pPr>
        <w:pStyle w:val="Small"/>
      </w:pPr>
      <w:r>
        <w:rPr>
          <w:b/>
        </w:rPr>
        <w:t xml:space="preserve">Yandex Cloud — DeepSeek V4 Flash — </w:t>
      </w:r>
      <w:r>
        <w:t xml:space="preserve">опубликованные тарифы токенов на 28.05.2026. </w:t>
      </w:r>
      <w:hyperlink r:id="rId15">
        <w:r>
          <w:rPr>
            <w:color w:val="0B57D0"/>
            <w:u w:val="single"/>
          </w:rPr>
          <w:t>https://yandex.cloud/ru/blog/yandex-ai-studio-deepseek-v4-flash</w:t>
        </w:r>
      </w:hyperlink>
    </w:p>
    <w:p>
      <w:pPr>
        <w:pStyle w:val="Small"/>
      </w:pPr>
      <w:r>
        <w:rPr>
          <w:b/>
        </w:rPr>
        <w:t xml:space="preserve">GigaChat API — тарифы для юрлиц — </w:t>
      </w:r>
      <w:r>
        <w:t xml:space="preserve">текущие тарифы pay-as-you-go и минимальный платёж. </w:t>
      </w:r>
      <w:hyperlink r:id="rId16">
        <w:r>
          <w:rPr>
            <w:color w:val="0B57D0"/>
            <w:u w:val="single"/>
          </w:rPr>
          <w:t>https://developers.sber.ru/docs/ru/gigachat/tariffs/legal-tariffs</w:t>
        </w:r>
      </w:hyperlink>
    </w:p>
    <w:p>
      <w:pPr>
        <w:pStyle w:val="Small"/>
      </w:pPr>
      <w:r>
        <w:rPr>
          <w:b/>
        </w:rPr>
        <w:t xml:space="preserve">152-ФЗ, статья 6 — </w:t>
      </w:r>
      <w:r>
        <w:t xml:space="preserve">условия обработки и поручение обработки персональных данных. </w:t>
      </w:r>
      <w:hyperlink r:id="rId17">
        <w:r>
          <w:rPr>
            <w:color w:val="0B57D0"/>
            <w:u w:val="single"/>
          </w:rPr>
          <w:t>https://www.consultant.ru/document/cons_doc_LAW_61801/315f051396c88f1e4f827ba3f2ae313d999a1873/</w:t>
        </w:r>
      </w:hyperlink>
    </w:p>
    <w:p>
      <w:pPr>
        <w:pStyle w:val="Small"/>
      </w:pPr>
      <w:r>
        <w:rPr>
          <w:b/>
        </w:rPr>
        <w:t xml:space="preserve">152-ФЗ, статья 18 — </w:t>
      </w:r>
      <w:r>
        <w:t xml:space="preserve">обязанности оператора и локализация баз данных при сборе ПДн. </w:t>
      </w:r>
      <w:hyperlink r:id="rId18">
        <w:r>
          <w:rPr>
            <w:color w:val="0B57D0"/>
            <w:u w:val="single"/>
          </w:rPr>
          <w:t>https://www.consultant.ru/document/cons_doc_LAW_61801/cbf4e15b7c330f9372e876cdf2bc928bad7950ef/</w:t>
        </w:r>
      </w:hyperlink>
    </w:p>
    <w:p>
      <w:pPr>
        <w:pStyle w:val="Small"/>
      </w:pPr>
      <w:r>
        <w:rPr>
          <w:b/>
        </w:rPr>
        <w:t xml:space="preserve">OpenAI Academy — Workspace agents — </w:t>
      </w:r>
      <w:r>
        <w:t xml:space="preserve">кросс-платформенное подтверждение паттернов повторяемых агентских процессов и необходимости правил эскалации. </w:t>
      </w:r>
      <w:hyperlink r:id="rId19">
        <w:r>
          <w:rPr>
            <w:color w:val="0B57D0"/>
            <w:u w:val="single"/>
          </w:rPr>
          <w:t>https://openai.com/academy/workspace-agents/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jc w:val="center"/>
    </w:pPr>
    <w:r>
      <w:t>Разбираем. Анализируем. Объясняем.  •  Фактчек: 30 августа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jc w:val="right"/>
    </w:pPr>
    <w:r>
      <w:t>БИЗНЕС ПОД МИКРОСКОПОМ  •  ТЕХНОЛОГИИ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69" w:lineRule="auto"/>
    </w:pPr>
    <w:rPr>
      <w:rFonts w:ascii="Aptos" w:hAnsi="Aptos"/>
      <w:color w:val="0E1E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7102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0E1E3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0E1E3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Georgia" w:hAnsi="Georgia"/>
      <w:b/>
      <w:color w:val="07102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60"/>
    </w:pPr>
    <w:rPr>
      <w:rFonts w:ascii="Aptos" w:hAnsi="Aptos"/>
      <w:b/>
      <w:color w:val="D86B2B"/>
      <w:sz w:val="18"/>
    </w:rPr>
  </w:style>
  <w:style w:type="paragraph" w:customStyle="1" w:styleId="Small">
    <w:name w:val="Small"/>
    <w:rPr>
      <w:rFonts w:ascii="Aptos" w:hAnsi="Aptos"/>
      <w:color w:val="6971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yandex.cloud/ru/docs/ai-studio/" TargetMode="External"/><Relationship Id="rId12" Type="http://schemas.openxmlformats.org/officeDocument/2006/relationships/hyperlink" Target="https://yandex.cloud/ru/docs/ai-studio/sdk-ref/sync/tools" TargetMode="External"/><Relationship Id="rId13" Type="http://schemas.openxmlformats.org/officeDocument/2006/relationships/hyperlink" Target="https://yandex.cloud/ru/docs/serverless-integrations/quickstart/workflows" TargetMode="External"/><Relationship Id="rId14" Type="http://schemas.openxmlformats.org/officeDocument/2006/relationships/hyperlink" Target="https://yandex.cloud/ru/docs/serverless-integrations/pricing" TargetMode="External"/><Relationship Id="rId15" Type="http://schemas.openxmlformats.org/officeDocument/2006/relationships/hyperlink" Target="https://yandex.cloud/ru/blog/yandex-ai-studio-deepseek-v4-flash" TargetMode="External"/><Relationship Id="rId16" Type="http://schemas.openxmlformats.org/officeDocument/2006/relationships/hyperlink" Target="https://developers.sber.ru/docs/ru/gigachat/tariffs/legal-tariffs" TargetMode="External"/><Relationship Id="rId17" Type="http://schemas.openxmlformats.org/officeDocument/2006/relationships/hyperlink" Target="https://www.consultant.ru/document/cons_doc_LAW_61801/315f051396c88f1e4f827ba3f2ae313d999a1873/" TargetMode="External"/><Relationship Id="rId18" Type="http://schemas.openxmlformats.org/officeDocument/2006/relationships/hyperlink" Target="https://www.consultant.ru/document/cons_doc_LAW_61801/cbf4e15b7c330f9372e876cdf2bc928bad7950ef/" TargetMode="External"/><Relationship Id="rId19" Type="http://schemas.openxmlformats.org/officeDocument/2006/relationships/hyperlink" Target="https://openai.com/academy/workspace-ag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