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C99A42"/>
          <w:sz w:val="18"/>
        </w:rPr>
        <w:t>БИЗНЕС ПОД МИКРОСКОПОМ</w:t>
      </w:r>
    </w:p>
    <w:p>
      <w:pPr>
        <w:pStyle w:val="Title"/>
      </w:pPr>
      <w:r>
        <w:t>Антикризисный playbook fashion-ритейла</w:t>
      </w:r>
    </w:p>
    <w:p>
      <w:r>
        <w:rPr>
          <w:color w:val="475569"/>
          <w:sz w:val="22"/>
        </w:rPr>
        <w:t>Что делать, когда падают продажи, растут старые запасы и сокращается cash buffer.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5083"/>
        <w:gridCol w:w="5083"/>
      </w:tblGrid>
      <w:tr>
        <w:tc>
          <w:tcPr>
            <w:tcW w:type="dxa" w:w="5083"/>
            <w:shd w:fill="102238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color w:val="FFFFFF"/>
              </w:rPr>
              <w:t>Документ</w:t>
            </w:r>
          </w:p>
        </w:tc>
        <w:tc>
          <w:tcPr>
            <w:tcW w:type="dxa" w:w="5083"/>
            <w:shd w:fill="F7F3EB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Антикризисный playbook</w:t>
            </w:r>
          </w:p>
        </w:tc>
      </w:tr>
      <w:tr>
        <w:tc>
          <w:tcPr>
            <w:tcW w:type="dxa" w:w="5083"/>
            <w:shd w:fill="102238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color w:val="FFFFFF"/>
              </w:rPr>
              <w:t>Фактчек</w:t>
            </w:r>
          </w:p>
        </w:tc>
        <w:tc>
          <w:tcPr>
            <w:tcW w:type="dxa" w:w="5083"/>
            <w:shd w:fill="F7F3EB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25 августа 2026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10166"/>
      </w:tblGrid>
      <w:tr>
        <w:tc>
          <w:tcPr>
            <w:tcW w:type="dxa" w:w="10166"/>
            <w:shd w:fill="F7F3EB"/>
            <w:tcMar>
              <w:top w:w="140" w:type="dxa"/>
              <w:start w:w="160" w:type="dxa"/>
              <w:bottom w:w="140" w:type="dxa"/>
              <w:end w:w="160" w:type="dxa"/>
            </w:tcMar>
          </w:tcPr>
          <w:p>
            <w:r>
              <w:rPr>
                <w:b/>
                <w:color w:val="102238"/>
              </w:rPr>
              <w:t>Цель</w:t>
            </w:r>
            <w:r>
              <w:br/>
              <w:t>Не «сохранить всё». Цель кризисного режима — сохранить жизнеспособное ядро, освободить cash и вернуть компании способность принимать решения.</w:t>
            </w:r>
          </w:p>
        </w:tc>
      </w:tr>
    </w:tbl>
    <w:p/>
    <w:p>
      <w:pPr>
        <w:pStyle w:val="Heading1"/>
      </w:pPr>
      <w:r>
        <w:t>1. Первые 72 часа</w:t>
      </w:r>
    </w:p>
    <w:p>
      <w:pPr>
        <w:pStyle w:val="ListNumber"/>
      </w:pPr>
      <w:r>
        <w:t>Заморозить необязательный CAPEX, новые открытия и закупки, не привязанные к подтверждённому спросу.</w:t>
      </w:r>
    </w:p>
    <w:p>
      <w:pPr>
        <w:pStyle w:val="ListNumber"/>
      </w:pPr>
      <w:r>
        <w:t>Собрать 13-недельный cash-flow по банковским выпискам и обязательствам.</w:t>
      </w:r>
    </w:p>
    <w:p>
      <w:pPr>
        <w:pStyle w:val="ListNumber"/>
      </w:pPr>
      <w:r>
        <w:t>Снять contribution каждой точки и канала.</w:t>
      </w:r>
    </w:p>
    <w:p>
      <w:pPr>
        <w:pStyle w:val="ListNumber"/>
      </w:pPr>
      <w:r>
        <w:t>Отдельно посчитать себестоимость запасов 90+/120+/180+.</w:t>
      </w:r>
    </w:p>
    <w:p>
      <w:pPr>
        <w:pStyle w:val="ListNumber"/>
      </w:pPr>
      <w:r>
        <w:t>Создать единый список обязательств: аренда, поставщики, налоги, зарплата, долг.</w:t>
      </w:r>
    </w:p>
    <w:p>
      <w:pPr>
        <w:pStyle w:val="ListNumber"/>
      </w:pPr>
      <w:r>
        <w:t>Назначить одного владельца кризисного P&amp;L и cash.</w:t>
      </w:r>
    </w:p>
    <w:p>
      <w:pPr>
        <w:pStyle w:val="Heading1"/>
      </w:pPr>
      <w:r>
        <w:t>2. Деньги: порядок защиты cash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89"/>
        <w:gridCol w:w="3389"/>
        <w:gridCol w:w="3389"/>
      </w:tblGrid>
      <w:tr>
        <w:trPr>
          <w:tblHeader w:val="true"/>
        </w:trPr>
        <w:tc>
          <w:tcPr>
            <w:tcW w:type="dxa" w:w="3389"/>
            <w:shd w:fill="102238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color w:val="FFFFFF"/>
              </w:rPr>
              <w:t>Приоритет</w:t>
            </w:r>
          </w:p>
        </w:tc>
        <w:tc>
          <w:tcPr>
            <w:tcW w:type="dxa" w:w="3389"/>
            <w:shd w:fill="102238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color w:val="FFFFFF"/>
              </w:rPr>
              <w:t>Действие</w:t>
            </w:r>
          </w:p>
        </w:tc>
        <w:tc>
          <w:tcPr>
            <w:tcW w:type="dxa" w:w="3389"/>
            <w:shd w:fill="102238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color w:val="FFFFFF"/>
              </w:rPr>
              <w:t>Почему</w:t>
            </w:r>
          </w:p>
        </w:tc>
      </w:tr>
      <w:tr>
        <w:tc>
          <w:tcPr>
            <w:tcW w:type="dxa" w:w="3389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1</w:t>
            </w:r>
          </w:p>
        </w:tc>
        <w:tc>
          <w:tcPr>
            <w:tcW w:type="dxa" w:w="3389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не допустить юридически/операционно критичных просрочек</w:t>
            </w:r>
          </w:p>
        </w:tc>
        <w:tc>
          <w:tcPr>
            <w:tcW w:type="dxa" w:w="3389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сохраняет способность работать</w:t>
            </w:r>
          </w:p>
        </w:tc>
      </w:tr>
      <w:tr>
        <w:tc>
          <w:tcPr>
            <w:tcW w:type="dxa" w:w="3389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2</w:t>
            </w:r>
          </w:p>
        </w:tc>
        <w:tc>
          <w:tcPr>
            <w:tcW w:type="dxa" w:w="3389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остановить расход, который не влияет на продажи/сохранность</w:t>
            </w:r>
          </w:p>
        </w:tc>
        <w:tc>
          <w:tcPr>
            <w:tcW w:type="dxa" w:w="3389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cash сегодня важнее sunk cost</w:t>
            </w:r>
          </w:p>
        </w:tc>
      </w:tr>
      <w:tr>
        <w:tc>
          <w:tcPr>
            <w:tcW w:type="dxa" w:w="3389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3</w:t>
            </w:r>
          </w:p>
        </w:tc>
        <w:tc>
          <w:tcPr>
            <w:tcW w:type="dxa" w:w="3389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переговоры по аренде и поставщикам</w:t>
            </w:r>
          </w:p>
        </w:tc>
        <w:tc>
          <w:tcPr>
            <w:tcW w:type="dxa" w:w="3389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меняет график cash out</w:t>
            </w:r>
          </w:p>
        </w:tc>
      </w:tr>
      <w:tr>
        <w:tc>
          <w:tcPr>
            <w:tcW w:type="dxa" w:w="3389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4</w:t>
            </w:r>
          </w:p>
        </w:tc>
        <w:tc>
          <w:tcPr>
            <w:tcW w:type="dxa" w:w="3389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высвобождение старого запаса</w:t>
            </w:r>
          </w:p>
        </w:tc>
        <w:tc>
          <w:tcPr>
            <w:tcW w:type="dxa" w:w="3389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возвращает деньги в оборот</w:t>
            </w:r>
          </w:p>
        </w:tc>
      </w:tr>
      <w:tr>
        <w:tc>
          <w:tcPr>
            <w:tcW w:type="dxa" w:w="3389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5</w:t>
            </w:r>
          </w:p>
        </w:tc>
        <w:tc>
          <w:tcPr>
            <w:tcW w:type="dxa" w:w="3389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новая закупка только в доказанное ядро</w:t>
            </w:r>
          </w:p>
        </w:tc>
        <w:tc>
          <w:tcPr>
            <w:tcW w:type="dxa" w:w="3389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не замораживать новый cash</w:t>
            </w:r>
          </w:p>
        </w:tc>
      </w:tr>
    </w:tbl>
    <w:p/>
    <w:p>
      <w:pPr>
        <w:pStyle w:val="Heading1"/>
      </w:pPr>
      <w:r>
        <w:t>3. Точки</w:t>
      </w:r>
    </w:p>
    <w:p>
      <w:pPr>
        <w:pStyle w:val="ListBullet"/>
      </w:pPr>
      <w:r>
        <w:t>Protect — положительный contribution, нормальный тренд, понятный спрос;</w:t>
      </w:r>
    </w:p>
    <w:p>
      <w:pPr>
        <w:pStyle w:val="ListBullet"/>
      </w:pPr>
      <w:r>
        <w:t>Relaunch — вклад положительный/около нуля, но есть конкретный рычаг: аренда, формат, ассортимент, график;</w:t>
      </w:r>
    </w:p>
    <w:p>
      <w:pPr>
        <w:pStyle w:val="ListBullet"/>
      </w:pPr>
      <w:r>
        <w:t>Exit — нет реалистичного пути к положительному cash contribution в заданный срок.</w:t>
      </w:r>
    </w:p>
    <w:p>
      <w:r>
        <w:t>Для Relaunch обязательно задаётся дата решения. Без даты «временный перезапуск» превращается в постоянную субсидию.</w:t>
      </w:r>
    </w:p>
    <w:p>
      <w:pPr>
        <w:pStyle w:val="Heading1"/>
      </w:pPr>
      <w:r>
        <w:t>4. Запасы</w:t>
      </w:r>
    </w:p>
    <w:p>
      <w:pPr>
        <w:pStyle w:val="ListNumber"/>
      </w:pPr>
      <w:r>
        <w:t>Разделить текущий сезон и legacy stock.</w:t>
      </w:r>
    </w:p>
    <w:p>
      <w:pPr>
        <w:pStyle w:val="ListNumber"/>
      </w:pPr>
      <w:r>
        <w:t>Для legacy stock определить cash recovery, а не красивую валовую маржу.</w:t>
      </w:r>
    </w:p>
    <w:p>
      <w:pPr>
        <w:pStyle w:val="ListNumber"/>
      </w:pPr>
      <w:r>
        <w:t>Не смешивать 180+ и новый товар в одной акции.</w:t>
      </w:r>
    </w:p>
    <w:p>
      <w:pPr>
        <w:pStyle w:val="ListNumber"/>
      </w:pPr>
      <w:r>
        <w:t>Проверить альтернативные каналы ликвидации, не разрушая основной прайс без необходимости.</w:t>
      </w:r>
    </w:p>
    <w:p>
      <w:pPr>
        <w:pStyle w:val="ListNumber"/>
      </w:pPr>
      <w:r>
        <w:t>Остановить повторный заказ SKU, который не прошёл sell-through gate.</w:t>
      </w:r>
    </w:p>
    <w:p>
      <w:pPr>
        <w:pStyle w:val="Heading1"/>
      </w:pPr>
      <w:r>
        <w:t>5. Продукт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83"/>
        <w:gridCol w:w="5083"/>
      </w:tblGrid>
      <w:tr>
        <w:trPr>
          <w:tblHeader w:val="true"/>
        </w:trPr>
        <w:tc>
          <w:tcPr>
            <w:tcW w:type="dxa" w:w="5083"/>
            <w:shd w:fill="102238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color w:val="FFFFFF"/>
              </w:rPr>
              <w:t>Вопрос</w:t>
            </w:r>
          </w:p>
        </w:tc>
        <w:tc>
          <w:tcPr>
            <w:tcW w:type="dxa" w:w="5083"/>
            <w:shd w:fill="102238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color w:val="FFFFFF"/>
              </w:rPr>
              <w:t>Решение</w:t>
            </w:r>
          </w:p>
        </w:tc>
      </w:tr>
      <w:tr>
        <w:tc>
          <w:tcPr>
            <w:tcW w:type="dxa" w:w="5083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Какая категория создаёт трафик?</w:t>
            </w:r>
          </w:p>
        </w:tc>
        <w:tc>
          <w:tcPr>
            <w:tcW w:type="dxa" w:w="5083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защитить наличие и размерный ряд</w:t>
            </w:r>
          </w:p>
        </w:tc>
      </w:tr>
      <w:tr>
        <w:tc>
          <w:tcPr>
            <w:tcW w:type="dxa" w:w="5083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Какая даёт валовую прибыль?</w:t>
            </w:r>
          </w:p>
        </w:tc>
        <w:tc>
          <w:tcPr>
            <w:tcW w:type="dxa" w:w="5083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защитить цену и закупку</w:t>
            </w:r>
          </w:p>
        </w:tc>
      </w:tr>
      <w:tr>
        <w:tc>
          <w:tcPr>
            <w:tcW w:type="dxa" w:w="5083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Какая возвращает клиента?</w:t>
            </w:r>
          </w:p>
        </w:tc>
        <w:tc>
          <w:tcPr>
            <w:tcW w:type="dxa" w:w="5083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сделать ядром CRM/повторной коммуникации</w:t>
            </w:r>
          </w:p>
        </w:tc>
      </w:tr>
      <w:tr>
        <w:tc>
          <w:tcPr>
            <w:tcW w:type="dxa" w:w="5083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Какая живёт только на markdown?</w:t>
            </w:r>
          </w:p>
        </w:tc>
        <w:tc>
          <w:tcPr>
            <w:tcW w:type="dxa" w:w="5083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пересобрать или остановить</w:t>
            </w:r>
          </w:p>
        </w:tc>
      </w:tr>
      <w:tr>
        <w:tc>
          <w:tcPr>
            <w:tcW w:type="dxa" w:w="5083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Какое ценовое обещание?</w:t>
            </w:r>
          </w:p>
        </w:tc>
        <w:tc>
          <w:tcPr>
            <w:tcW w:type="dxa" w:w="5083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с кем клиент сравнивает бренд и почему цена оправдана</w:t>
            </w:r>
          </w:p>
        </w:tc>
      </w:tr>
    </w:tbl>
    <w:p/>
    <w:p>
      <w:pPr>
        <w:pStyle w:val="Heading1"/>
      </w:pPr>
      <w:r>
        <w:t>6. Каналы</w:t>
      </w:r>
    </w:p>
    <w:p>
      <w:r>
        <w:t>Сайт и маркетплейс не должны считаться «ростом», если их contribution отрицателен после комиссии, логистики, возвратов и рекламы. В кризисе канал получает бюджет только тогда, когда он либо создаёт положительный вклад, либо выполняет чёткую роль в высвобождении запасов/удержании клиента.</w:t>
      </w:r>
    </w:p>
    <w:p>
      <w:pPr>
        <w:pStyle w:val="Heading1"/>
      </w:pPr>
      <w:r>
        <w:t>7. Поставщики</w:t>
      </w:r>
    </w:p>
    <w:p>
      <w:pPr>
        <w:pStyle w:val="ListBullet"/>
      </w:pPr>
      <w:r>
        <w:t>переговорить отсрочки и график поставок до нарушения договора;</w:t>
      </w:r>
    </w:p>
    <w:p>
      <w:pPr>
        <w:pStyle w:val="ListBullet"/>
      </w:pPr>
      <w:r>
        <w:t>уменьшить MOQ слабых категорий;</w:t>
      </w:r>
    </w:p>
    <w:p>
      <w:pPr>
        <w:pStyle w:val="ListBullet"/>
      </w:pPr>
      <w:r>
        <w:t>зафиксировать приоритетные SKU и сроки;</w:t>
      </w:r>
    </w:p>
    <w:p>
      <w:pPr>
        <w:pStyle w:val="ListBullet"/>
      </w:pPr>
      <w:r>
        <w:t>не маскировать дефицит cash новыми предоплатными обязательствами;</w:t>
      </w:r>
    </w:p>
    <w:p>
      <w:pPr>
        <w:pStyle w:val="ListBullet"/>
      </w:pPr>
      <w:r>
        <w:t>сравнивать скидку поставщика с ценой замороженного оборотного капитала.</w:t>
      </w:r>
    </w:p>
    <w:p>
      <w:pPr>
        <w:pStyle w:val="Heading1"/>
      </w:pPr>
      <w:r>
        <w:t>8. Долг</w:t>
      </w:r>
    </w:p>
    <w:p>
      <w:r>
        <w:t>Реструктуризация долга имеет смысл только вместе с изменением операционной модели. Если просто перенести платёж, а точки и товар продолжают сжигать cash, компания покупает время без решения. Перед переговорами нужны 13-week cash, store portfolio и доказанный план высвобождения оборотного капитала.</w:t>
      </w:r>
    </w:p>
    <w:p>
      <w:pPr>
        <w:pStyle w:val="Heading1"/>
      </w:pPr>
      <w:r>
        <w:t>9. Что нельзя делать</w:t>
      </w:r>
    </w:p>
    <w:p>
      <w:pPr>
        <w:pStyle w:val="ListBullet"/>
      </w:pPr>
      <w:r>
        <w:t>открывать новые точки, чтобы «размазать» центральные расходы;</w:t>
      </w:r>
    </w:p>
    <w:p>
      <w:pPr>
        <w:pStyle w:val="ListBullet"/>
      </w:pPr>
      <w:r>
        <w:t>увеличивать ассортимент ради ощущения новизны;</w:t>
      </w:r>
    </w:p>
    <w:p>
      <w:pPr>
        <w:pStyle w:val="ListBullet"/>
      </w:pPr>
      <w:r>
        <w:t>считать markdown успехом только по обороту;</w:t>
      </w:r>
    </w:p>
    <w:p>
      <w:pPr>
        <w:pStyle w:val="ListBullet"/>
      </w:pPr>
      <w:r>
        <w:t>защищать слабую локацию из-за уже вложенного ремонта;</w:t>
      </w:r>
    </w:p>
    <w:p>
      <w:pPr>
        <w:pStyle w:val="ListBullet"/>
      </w:pPr>
      <w:r>
        <w:t>прятать убыточный маркетплейс за GMV;</w:t>
      </w:r>
    </w:p>
    <w:p>
      <w:pPr>
        <w:pStyle w:val="ListBullet"/>
      </w:pPr>
      <w:r>
        <w:t>одновременно менять всё без контрольных gates;</w:t>
      </w:r>
    </w:p>
    <w:p>
      <w:pPr>
        <w:pStyle w:val="ListBullet"/>
      </w:pPr>
      <w:r>
        <w:t>откладывать переговоры до фактической просрочки.</w:t>
      </w:r>
    </w:p>
    <w:p>
      <w:pPr>
        <w:pStyle w:val="Heading1"/>
      </w:pPr>
      <w:r>
        <w:t>10. Выход из crisis mode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166"/>
      </w:tblGrid>
      <w:tr>
        <w:tc>
          <w:tcPr>
            <w:tcW w:type="dxa" w:w="10166"/>
            <w:shd w:fill="DDEFE4"/>
            <w:tcMar>
              <w:top w:w="140" w:type="dxa"/>
              <w:start w:w="160" w:type="dxa"/>
              <w:bottom w:w="140" w:type="dxa"/>
              <w:end w:w="160" w:type="dxa"/>
            </w:tcMar>
          </w:tcPr>
          <w:p>
            <w:r>
              <w:rPr>
                <w:b/>
                <w:color w:val="102238"/>
              </w:rPr>
              <w:t>Критерий</w:t>
            </w:r>
            <w:r>
              <w:br/>
              <w:t>Компания выходит из кризисного режима не после одного прибыльного месяца, а когда 13-недельный cash стабилизирован, слабые точки классифицированы, старые запасы уменьшаются, stress-test переживается, а новая закупка финансируется из управляемого cash conversion.</w:t>
            </w:r>
          </w:p>
        </w:tc>
      </w:tr>
    </w:tbl>
    <w:p/>
    <w:p>
      <w:pPr>
        <w:pStyle w:val="Heading1"/>
      </w:pPr>
      <w:r>
        <w:t>11. Повестка crisis meeting на 30 минут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89"/>
        <w:gridCol w:w="3389"/>
        <w:gridCol w:w="3389"/>
      </w:tblGrid>
      <w:tr>
        <w:trPr>
          <w:tblHeader w:val="true"/>
        </w:trPr>
        <w:tc>
          <w:tcPr>
            <w:tcW w:type="dxa" w:w="3389"/>
            <w:shd w:fill="102238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color w:val="FFFFFF"/>
              </w:rPr>
              <w:t>Минуты</w:t>
            </w:r>
          </w:p>
        </w:tc>
        <w:tc>
          <w:tcPr>
            <w:tcW w:type="dxa" w:w="3389"/>
            <w:shd w:fill="102238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color w:val="FFFFFF"/>
              </w:rPr>
              <w:t>Вопрос</w:t>
            </w:r>
          </w:p>
        </w:tc>
        <w:tc>
          <w:tcPr>
            <w:tcW w:type="dxa" w:w="3389"/>
            <w:shd w:fill="102238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color w:val="FFFFFF"/>
              </w:rPr>
              <w:t>Решение</w:t>
            </w:r>
          </w:p>
        </w:tc>
      </w:tr>
      <w:tr>
        <w:tc>
          <w:tcPr>
            <w:tcW w:type="dxa" w:w="3389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0–5</w:t>
            </w:r>
          </w:p>
        </w:tc>
        <w:tc>
          <w:tcPr>
            <w:tcW w:type="dxa" w:w="3389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Ending cash: что изменилось с прошлой недели?</w:t>
            </w:r>
          </w:p>
        </w:tc>
        <w:tc>
          <w:tcPr>
            <w:tcW w:type="dxa" w:w="3389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/>
          </w:p>
        </w:tc>
      </w:tr>
      <w:tr>
        <w:tc>
          <w:tcPr>
            <w:tcW w:type="dxa" w:w="3389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5–10</w:t>
            </w:r>
          </w:p>
        </w:tc>
        <w:tc>
          <w:tcPr>
            <w:tcW w:type="dxa" w:w="3389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Какие точки изменили contribution?</w:t>
            </w:r>
          </w:p>
        </w:tc>
        <w:tc>
          <w:tcPr>
            <w:tcW w:type="dxa" w:w="3389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/>
          </w:p>
        </w:tc>
      </w:tr>
      <w:tr>
        <w:tc>
          <w:tcPr>
            <w:tcW w:type="dxa" w:w="3389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10–15</w:t>
            </w:r>
          </w:p>
        </w:tc>
        <w:tc>
          <w:tcPr>
            <w:tcW w:type="dxa" w:w="3389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Сколько себестоимости 120+/180+ удалось высвободить?</w:t>
            </w:r>
          </w:p>
        </w:tc>
        <w:tc>
          <w:tcPr>
            <w:tcW w:type="dxa" w:w="3389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/>
          </w:p>
        </w:tc>
      </w:tr>
      <w:tr>
        <w:tc>
          <w:tcPr>
            <w:tcW w:type="dxa" w:w="3389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15–20</w:t>
            </w:r>
          </w:p>
        </w:tc>
        <w:tc>
          <w:tcPr>
            <w:tcW w:type="dxa" w:w="3389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Какие обязательства сдвинулись/ускорились?</w:t>
            </w:r>
          </w:p>
        </w:tc>
        <w:tc>
          <w:tcPr>
            <w:tcW w:type="dxa" w:w="3389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/>
          </w:p>
        </w:tc>
      </w:tr>
      <w:tr>
        <w:tc>
          <w:tcPr>
            <w:tcW w:type="dxa" w:w="3389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20–25</w:t>
            </w:r>
          </w:p>
        </w:tc>
        <w:tc>
          <w:tcPr>
            <w:tcW w:type="dxa" w:w="3389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Какие gates не закрыты?</w:t>
            </w:r>
          </w:p>
        </w:tc>
        <w:tc>
          <w:tcPr>
            <w:tcW w:type="dxa" w:w="3389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/>
          </w:p>
        </w:tc>
      </w:tr>
      <w:tr>
        <w:tc>
          <w:tcPr>
            <w:tcW w:type="dxa" w:w="3389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25–30</w:t>
            </w:r>
          </w:p>
        </w:tc>
        <w:tc>
          <w:tcPr>
            <w:tcW w:type="dxa" w:w="3389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Что сегодня STOP / CONTINUE / ESCALATE?</w:t>
            </w:r>
          </w:p>
        </w:tc>
        <w:tc>
          <w:tcPr>
            <w:tcW w:type="dxa" w:w="3389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/>
          </w:p>
        </w:tc>
      </w:tr>
    </w:tbl>
    <w:p/>
    <w:p>
      <w:pPr>
        <w:pStyle w:val="Heading1"/>
      </w:pPr>
      <w:r>
        <w:t>12. STOP / CONTINUE / ESCALATE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89"/>
        <w:gridCol w:w="3389"/>
        <w:gridCol w:w="3389"/>
      </w:tblGrid>
      <w:tr>
        <w:trPr>
          <w:tblHeader w:val="true"/>
        </w:trPr>
        <w:tc>
          <w:tcPr>
            <w:tcW w:type="dxa" w:w="3389"/>
            <w:shd w:fill="102238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color w:val="FFFFFF"/>
              </w:rPr>
              <w:t>Статус</w:t>
            </w:r>
          </w:p>
        </w:tc>
        <w:tc>
          <w:tcPr>
            <w:tcW w:type="dxa" w:w="3389"/>
            <w:shd w:fill="102238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color w:val="FFFFFF"/>
              </w:rPr>
              <w:t>Когда ставить</w:t>
            </w:r>
          </w:p>
        </w:tc>
        <w:tc>
          <w:tcPr>
            <w:tcW w:type="dxa" w:w="3389"/>
            <w:shd w:fill="102238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color w:val="FFFFFF"/>
              </w:rPr>
              <w:t>Что происходит</w:t>
            </w:r>
          </w:p>
        </w:tc>
      </w:tr>
      <w:tr>
        <w:tc>
          <w:tcPr>
            <w:tcW w:type="dxa" w:w="3389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STOP</w:t>
            </w:r>
          </w:p>
        </w:tc>
        <w:tc>
          <w:tcPr>
            <w:tcW w:type="dxa" w:w="3389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инициатива не даёт обещанную метрику и продолжает забирать cash</w:t>
            </w:r>
          </w:p>
        </w:tc>
        <w:tc>
          <w:tcPr>
            <w:tcW w:type="dxa" w:w="3389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заморозить расход, закрыть/передоговорить</w:t>
            </w:r>
          </w:p>
        </w:tc>
      </w:tr>
      <w:tr>
        <w:tc>
          <w:tcPr>
            <w:tcW w:type="dxa" w:w="3389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CONTINUE</w:t>
            </w:r>
          </w:p>
        </w:tc>
        <w:tc>
          <w:tcPr>
            <w:tcW w:type="dxa" w:w="3389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метрика улучшается в пределах gate</w:t>
            </w:r>
          </w:p>
        </w:tc>
        <w:tc>
          <w:tcPr>
            <w:tcW w:type="dxa" w:w="3389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сохранять курс до следующей даты решения</w:t>
            </w:r>
          </w:p>
        </w:tc>
      </w:tr>
      <w:tr>
        <w:tc>
          <w:tcPr>
            <w:tcW w:type="dxa" w:w="3389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ESCALATE</w:t>
            </w:r>
          </w:p>
        </w:tc>
        <w:tc>
          <w:tcPr>
            <w:tcW w:type="dxa" w:w="3389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операционная проблема превращается в риск ликвидности/договора/налогов</w:t>
            </w:r>
          </w:p>
        </w:tc>
        <w:tc>
          <w:tcPr>
            <w:tcW w:type="dxa" w:w="3389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владелец + финансы + юрист/профильный специалист</w:t>
            </w:r>
          </w:p>
        </w:tc>
      </w:tr>
    </w:tbl>
    <w:p/>
    <w:p>
      <w:pPr>
        <w:pStyle w:val="Heading1"/>
      </w:pPr>
      <w:r>
        <w:t>13. Шаблон решения по слабой точке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83"/>
        <w:gridCol w:w="5083"/>
      </w:tblGrid>
      <w:tr>
        <w:trPr>
          <w:tblHeader w:val="true"/>
        </w:trPr>
        <w:tc>
          <w:tcPr>
            <w:tcW w:type="dxa" w:w="5083"/>
            <w:shd w:fill="102238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color w:val="FFFFFF"/>
              </w:rPr>
              <w:t>Поле</w:t>
            </w:r>
          </w:p>
        </w:tc>
        <w:tc>
          <w:tcPr>
            <w:tcW w:type="dxa" w:w="5083"/>
            <w:shd w:fill="102238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color w:val="FFFFFF"/>
              </w:rPr>
              <w:t>Заполнить</w:t>
            </w:r>
          </w:p>
        </w:tc>
      </w:tr>
      <w:tr>
        <w:tc>
          <w:tcPr>
            <w:tcW w:type="dxa" w:w="5083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Точка</w:t>
            </w:r>
          </w:p>
        </w:tc>
        <w:tc>
          <w:tcPr>
            <w:tcW w:type="dxa" w:w="5083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/>
          </w:p>
        </w:tc>
      </w:tr>
      <w:tr>
        <w:tc>
          <w:tcPr>
            <w:tcW w:type="dxa" w:w="5083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Contribution / мес</w:t>
            </w:r>
          </w:p>
        </w:tc>
        <w:tc>
          <w:tcPr>
            <w:tcW w:type="dxa" w:w="5083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/>
          </w:p>
        </w:tc>
      </w:tr>
      <w:tr>
        <w:tc>
          <w:tcPr>
            <w:tcW w:type="dxa" w:w="5083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Тренд продаж 3 мес</w:t>
            </w:r>
          </w:p>
        </w:tc>
        <w:tc>
          <w:tcPr>
            <w:tcW w:type="dxa" w:w="5083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/>
          </w:p>
        </w:tc>
      </w:tr>
      <w:tr>
        <w:tc>
          <w:tcPr>
            <w:tcW w:type="dxa" w:w="5083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Аренда / выручка</w:t>
            </w:r>
          </w:p>
        </w:tc>
        <w:tc>
          <w:tcPr>
            <w:tcW w:type="dxa" w:w="5083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/>
          </w:p>
        </w:tc>
      </w:tr>
      <w:tr>
        <w:tc>
          <w:tcPr>
            <w:tcW w:type="dxa" w:w="5083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Запас 90+</w:t>
            </w:r>
          </w:p>
        </w:tc>
        <w:tc>
          <w:tcPr>
            <w:tcW w:type="dxa" w:w="5083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/>
          </w:p>
        </w:tc>
      </w:tr>
      <w:tr>
        <w:tc>
          <w:tcPr>
            <w:tcW w:type="dxa" w:w="5083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Рычаг Relaunch</w:t>
            </w:r>
          </w:p>
        </w:tc>
        <w:tc>
          <w:tcPr>
            <w:tcW w:type="dxa" w:w="5083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/>
          </w:p>
        </w:tc>
      </w:tr>
      <w:tr>
        <w:tc>
          <w:tcPr>
            <w:tcW w:type="dxa" w:w="5083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Стоимость Relaunch</w:t>
            </w:r>
          </w:p>
        </w:tc>
        <w:tc>
          <w:tcPr>
            <w:tcW w:type="dxa" w:w="5083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/>
          </w:p>
        </w:tc>
      </w:tr>
      <w:tr>
        <w:tc>
          <w:tcPr>
            <w:tcW w:type="dxa" w:w="5083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Срок проверки</w:t>
            </w:r>
          </w:p>
        </w:tc>
        <w:tc>
          <w:tcPr>
            <w:tcW w:type="dxa" w:w="5083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/>
          </w:p>
        </w:tc>
      </w:tr>
      <w:tr>
        <w:tc>
          <w:tcPr>
            <w:tcW w:type="dxa" w:w="5083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Стоимость Exit</w:t>
            </w:r>
          </w:p>
        </w:tc>
        <w:tc>
          <w:tcPr>
            <w:tcW w:type="dxa" w:w="5083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/>
          </w:p>
        </w:tc>
      </w:tr>
      <w:tr>
        <w:tc>
          <w:tcPr>
            <w:tcW w:type="dxa" w:w="5083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Решение Protect / Relaunch / Exit</w:t>
            </w:r>
          </w:p>
        </w:tc>
        <w:tc>
          <w:tcPr>
            <w:tcW w:type="dxa" w:w="5083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/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10166"/>
      </w:tblGrid>
      <w:tr>
        <w:tc>
          <w:tcPr>
            <w:tcW w:type="dxa" w:w="10166"/>
            <w:shd w:fill="DDEFE4"/>
            <w:tcMar>
              <w:top w:w="140" w:type="dxa"/>
              <w:start w:w="160" w:type="dxa"/>
              <w:bottom w:w="140" w:type="dxa"/>
              <w:end w:w="160" w:type="dxa"/>
            </w:tcMar>
          </w:tcPr>
          <w:p>
            <w:r>
              <w:rPr>
                <w:b/>
                <w:color w:val="102238"/>
              </w:rPr>
              <w:t>Финальный принцип</w:t>
            </w:r>
            <w:r>
              <w:br/>
              <w:t>Кризисный playbook считается работающим только тогда, когда он меняет cash-out и принятие решений. Документ без владельца, дат и права остановить расход — не антикризисная система.</w:t>
            </w:r>
          </w:p>
        </w:tc>
      </w:tr>
    </w:tbl>
    <w:p/>
    <w:sectPr w:rsidR="00FC693F" w:rsidRPr="0006063C" w:rsidSect="00034616">
      <w:footerReference w:type="default" r:id="rId9"/>
      <w:pgSz w:w="12240" w:h="15840"/>
      <w:pgMar w:top="893" w:right="1037" w:bottom="893" w:left="10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475569"/>
        <w:sz w:val="16"/>
      </w:rPr>
      <w:t>Бизнес под микроскопом · профессиональный материал</w:t>
    </w:r>
  </w:p>
  <w:p>
    <w:pPr>
      <w:jc w:val="right"/>
    </w:pPr>
    <w:r>
      <w:fldChar w:fldCharType="begin"/>
      <w:instrText xml:space="preserve"> PAGE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102238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102238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102238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