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9A42"/>
          <w:sz w:val="18"/>
        </w:rPr>
        <w:t>БИЗНЕС ПОД МИКРОСКОПОМ</w:t>
      </w:r>
    </w:p>
    <w:p>
      <w:pPr>
        <w:pStyle w:val="Title"/>
      </w:pPr>
      <w:r>
        <w:t>INCITY / «Модный континент»: почему масштаб не спас розничную модель</w:t>
      </w:r>
    </w:p>
    <w:p>
      <w:r>
        <w:rPr>
          <w:color w:val="475569"/>
          <w:sz w:val="22"/>
        </w:rPr>
        <w:t>Хронология, подтверждённые факты, карта причин, ранние сигналы и применимые уроки для российского ритейла.</w:t>
      </w:r>
    </w:p>
    <w:tbl>
      <w:tblPr>
        <w:tblW w:type="auto" w:w="0"/>
        <w:jc w:val="left"/>
        <w:tblLook w:firstColumn="1" w:firstRow="1" w:lastColumn="0" w:lastRow="0" w:noHBand="0" w:noVBand="1" w:val="04A0"/>
      </w:tblPr>
      <w:tblGrid>
        <w:gridCol w:w="5083"/>
        <w:gridCol w:w="5083"/>
      </w:tblGrid>
      <w:tr>
        <w:tc>
          <w:tcPr>
            <w:tcW w:type="dxa" w:w="5083"/>
            <w:shd w:fill="102238"/>
            <w:tcMar>
              <w:top w:w="90" w:type="dxa"/>
              <w:start w:w="110" w:type="dxa"/>
              <w:bottom w:w="90" w:type="dxa"/>
              <w:end w:w="110" w:type="dxa"/>
            </w:tcMar>
          </w:tcPr>
          <w:p>
            <w:r>
              <w:rPr>
                <w:b/>
                <w:color w:val="FFFFFF"/>
              </w:rPr>
              <w:t>Документ</w:t>
            </w:r>
          </w:p>
        </w:tc>
        <w:tc>
          <w:tcPr>
            <w:tcW w:type="dxa" w:w="5083"/>
            <w:shd w:fill="F7F3EB"/>
            <w:tcMar>
              <w:top w:w="90" w:type="dxa"/>
              <w:start w:w="110" w:type="dxa"/>
              <w:bottom w:w="90" w:type="dxa"/>
              <w:end w:w="110" w:type="dxa"/>
            </w:tcMar>
          </w:tcPr>
          <w:p>
            <w:r>
              <w:t>Досье причин и хронологии</w:t>
            </w:r>
          </w:p>
        </w:tc>
      </w:tr>
      <w:tr>
        <w:tc>
          <w:tcPr>
            <w:tcW w:type="dxa" w:w="5083"/>
            <w:shd w:fill="102238"/>
            <w:tcMar>
              <w:top w:w="90" w:type="dxa"/>
              <w:start w:w="110" w:type="dxa"/>
              <w:bottom w:w="90" w:type="dxa"/>
              <w:end w:w="110" w:type="dxa"/>
            </w:tcMar>
          </w:tcPr>
          <w:p>
            <w:r>
              <w:rPr>
                <w:b/>
                <w:color w:val="FFFFFF"/>
              </w:rPr>
              <w:t>Фактчек</w:t>
            </w:r>
          </w:p>
        </w:tc>
        <w:tc>
          <w:tcPr>
            <w:tcW w:type="dxa" w:w="5083"/>
            <w:shd w:fill="F7F3EB"/>
            <w:tcMar>
              <w:top w:w="90" w:type="dxa"/>
              <w:start w:w="110" w:type="dxa"/>
              <w:bottom w:w="90" w:type="dxa"/>
              <w:end w:w="110" w:type="dxa"/>
            </w:tcMar>
          </w:tcPr>
          <w:p>
            <w:r>
              <w:t>25 августа 2026</w:t>
            </w:r>
          </w:p>
        </w:tc>
      </w:tr>
    </w:tbl>
    <w:p/>
    <w:tbl>
      <w:tblPr>
        <w:tblW w:type="auto" w:w="0"/>
        <w:tblLook w:firstColumn="1" w:firstRow="1" w:lastColumn="0" w:lastRow="0" w:noHBand="0" w:noVBand="1" w:val="04A0"/>
      </w:tblPr>
      <w:tblGrid>
        <w:gridCol w:w="10166"/>
      </w:tblGrid>
      <w:tr>
        <w:tc>
          <w:tcPr>
            <w:tcW w:type="dxa" w:w="10166"/>
            <w:shd w:fill="FFF2CC"/>
            <w:tcMar>
              <w:top w:w="140" w:type="dxa"/>
              <w:start w:w="160" w:type="dxa"/>
              <w:bottom w:w="140" w:type="dxa"/>
              <w:end w:w="160" w:type="dxa"/>
            </w:tcMar>
          </w:tcPr>
          <w:p>
            <w:r>
              <w:rPr>
                <w:b/>
                <w:color w:val="102238"/>
              </w:rPr>
              <w:t>Юридически точная формулировка</w:t>
            </w:r>
            <w:r>
              <w:br/>
              <w:t>Банкротом 4 декабря 2025 года признано АО «Модный континент», управлявшее брендами INCITY и Deseo. Поэтому документ не использует формулировку «банкротом признан бренд INCITY» как юридический факт.</w:t>
            </w:r>
          </w:p>
        </w:tc>
      </w:tr>
    </w:tbl>
    <w:p/>
    <w:p>
      <w:pPr>
        <w:pStyle w:val="Heading1"/>
      </w:pPr>
      <w:r>
        <w:t>1. Почему этот кейс важен</w:t>
      </w:r>
    </w:p>
    <w:p>
      <w:r>
        <w:t>INCITY — полезный кейс не потому, что известный fashion-бренд в итоге закрыл собственную розницу. Гораздо важнее траектория: проблемы были заметны задолго до конкурсного производства. Сеть сокращалась, выручка снижалась, убыток рос, старый товар замораживал капитал, а публичные комментарии рынка указывали на слабость ассортимента и ценового предложения. Для предпринимателя это история не про юридический финал, а про то, как несколько слабых контуров одновременно начинают усиливать друг друга.</w:t>
      </w:r>
    </w:p>
    <w:p>
      <w:r>
        <w:t>Публичные данные не позволяют количественно распределить ответственность между ассортиментом, арендой, долгом, пандемией, санкционными ограничениями, управлением и конкуренцией. Поэтому документ разделяет три слоя: подтверждённые события, объяснения самой компании или цитируемых экспертов и аналитические выводы проекта.</w:t>
      </w:r>
    </w:p>
    <w:p>
      <w:pPr>
        <w:pStyle w:val="Heading1"/>
      </w:pPr>
      <w:r>
        <w:t>2. Хронология</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102238"/>
            <w:tcMar>
              <w:top w:w="90" w:type="dxa"/>
              <w:start w:w="110" w:type="dxa"/>
              <w:bottom w:w="90" w:type="dxa"/>
              <w:end w:w="110" w:type="dxa"/>
            </w:tcMar>
          </w:tcPr>
          <w:p>
            <w:r>
              <w:rPr>
                <w:b/>
                <w:color w:val="FFFFFF"/>
              </w:rPr>
              <w:t>Период</w:t>
            </w:r>
          </w:p>
        </w:tc>
        <w:tc>
          <w:tcPr>
            <w:tcW w:type="dxa" w:w="3389"/>
            <w:shd w:fill="102238"/>
            <w:tcMar>
              <w:top w:w="90" w:type="dxa"/>
              <w:start w:w="110" w:type="dxa"/>
              <w:bottom w:w="90" w:type="dxa"/>
              <w:end w:w="110" w:type="dxa"/>
            </w:tcMar>
          </w:tcPr>
          <w:p>
            <w:r>
              <w:rPr>
                <w:b/>
                <w:color w:val="FFFFFF"/>
              </w:rPr>
              <w:t>Что подтверждено</w:t>
            </w:r>
          </w:p>
        </w:tc>
        <w:tc>
          <w:tcPr>
            <w:tcW w:type="dxa" w:w="3389"/>
            <w:shd w:fill="102238"/>
            <w:tcMar>
              <w:top w:w="90" w:type="dxa"/>
              <w:start w:w="110" w:type="dxa"/>
              <w:bottom w:w="90" w:type="dxa"/>
              <w:end w:w="110" w:type="dxa"/>
            </w:tcMar>
          </w:tcPr>
          <w:p>
            <w:r>
              <w:rPr>
                <w:b/>
                <w:color w:val="FFFFFF"/>
              </w:rPr>
              <w:t>Почему это важно</w:t>
            </w:r>
          </w:p>
        </w:tc>
      </w:tr>
      <w:tr>
        <w:tc>
          <w:tcPr>
            <w:tcW w:type="dxa" w:w="3389"/>
            <w:vAlign w:val="top"/>
            <w:tcMar>
              <w:top w:w="90" w:type="dxa"/>
              <w:start w:w="110" w:type="dxa"/>
              <w:bottom w:w="90" w:type="dxa"/>
              <w:end w:w="110" w:type="dxa"/>
            </w:tcMar>
          </w:tcPr>
          <w:p>
            <w:r>
              <w:t>2015</w:t>
            </w:r>
          </w:p>
        </w:tc>
        <w:tc>
          <w:tcPr>
            <w:tcW w:type="dxa" w:w="3389"/>
            <w:vAlign w:val="top"/>
            <w:tcMar>
              <w:top w:w="90" w:type="dxa"/>
              <w:start w:w="110" w:type="dxa"/>
              <w:bottom w:w="90" w:type="dxa"/>
              <w:end w:w="110" w:type="dxa"/>
            </w:tcMar>
          </w:tcPr>
          <w:p>
            <w:r>
              <w:t>У INCITY и Deseo вместе было около 450 магазинов.</w:t>
            </w:r>
          </w:p>
        </w:tc>
        <w:tc>
          <w:tcPr>
            <w:tcW w:type="dxa" w:w="3389"/>
            <w:vAlign w:val="top"/>
            <w:tcMar>
              <w:top w:w="90" w:type="dxa"/>
              <w:start w:w="110" w:type="dxa"/>
              <w:bottom w:w="90" w:type="dxa"/>
              <w:end w:w="110" w:type="dxa"/>
            </w:tcMar>
          </w:tcPr>
          <w:p>
            <w:r>
              <w:t>Пик масштаба создавал большую постоянную инфраструктуру.</w:t>
            </w:r>
          </w:p>
        </w:tc>
      </w:tr>
      <w:tr>
        <w:tc>
          <w:tcPr>
            <w:tcW w:type="dxa" w:w="3389"/>
            <w:vAlign w:val="top"/>
            <w:tcMar>
              <w:top w:w="90" w:type="dxa"/>
              <w:start w:w="110" w:type="dxa"/>
              <w:bottom w:w="90" w:type="dxa"/>
              <w:end w:w="110" w:type="dxa"/>
            </w:tcMar>
          </w:tcPr>
          <w:p>
            <w:r>
              <w:t>2023</w:t>
            </w:r>
          </w:p>
        </w:tc>
        <w:tc>
          <w:tcPr>
            <w:tcW w:type="dxa" w:w="3389"/>
            <w:vAlign w:val="top"/>
            <w:tcMar>
              <w:top w:w="90" w:type="dxa"/>
              <w:start w:w="110" w:type="dxa"/>
              <w:bottom w:w="90" w:type="dxa"/>
              <w:end w:w="110" w:type="dxa"/>
            </w:tcMar>
          </w:tcPr>
          <w:p>
            <w:r>
              <w:t>Выручка АО «Модный континент» — почти 3 млрд ₽, -12,6% г/г; чистый убыток 262,3 млн ₽.</w:t>
            </w:r>
          </w:p>
        </w:tc>
        <w:tc>
          <w:tcPr>
            <w:tcW w:type="dxa" w:w="3389"/>
            <w:vAlign w:val="top"/>
            <w:tcMar>
              <w:top w:w="90" w:type="dxa"/>
              <w:start w:w="110" w:type="dxa"/>
              <w:bottom w:w="90" w:type="dxa"/>
              <w:end w:w="110" w:type="dxa"/>
            </w:tcMar>
          </w:tcPr>
          <w:p>
            <w:r>
              <w:t>Финансовое ухудшение видно до массового закрытия точек.</w:t>
            </w:r>
          </w:p>
        </w:tc>
      </w:tr>
      <w:tr>
        <w:tc>
          <w:tcPr>
            <w:tcW w:type="dxa" w:w="3389"/>
            <w:vAlign w:val="top"/>
            <w:tcMar>
              <w:top w:w="90" w:type="dxa"/>
              <w:start w:w="110" w:type="dxa"/>
              <w:bottom w:w="90" w:type="dxa"/>
              <w:end w:w="110" w:type="dxa"/>
            </w:tcMar>
          </w:tcPr>
          <w:p>
            <w:r>
              <w:t>конец 2023</w:t>
            </w:r>
          </w:p>
        </w:tc>
        <w:tc>
          <w:tcPr>
            <w:tcW w:type="dxa" w:w="3389"/>
            <w:vAlign w:val="top"/>
            <w:tcMar>
              <w:top w:w="90" w:type="dxa"/>
              <w:start w:w="110" w:type="dxa"/>
              <w:bottom w:w="90" w:type="dxa"/>
              <w:end w:w="110" w:type="dxa"/>
            </w:tcMar>
          </w:tcPr>
          <w:p>
            <w:r>
              <w:t>Долгосрочные обязательства 1,9 млрд ₽; краткосрочные — 803,6 млн ₽.</w:t>
            </w:r>
          </w:p>
        </w:tc>
        <w:tc>
          <w:tcPr>
            <w:tcW w:type="dxa" w:w="3389"/>
            <w:vAlign w:val="top"/>
            <w:tcMar>
              <w:top w:w="90" w:type="dxa"/>
              <w:start w:w="110" w:type="dxa"/>
              <w:bottom w:w="90" w:type="dxa"/>
              <w:end w:w="110" w:type="dxa"/>
            </w:tcMar>
          </w:tcPr>
          <w:p>
            <w:r>
              <w:t>Высокие обязательства ограничивают время на перестройку.</w:t>
            </w:r>
          </w:p>
        </w:tc>
      </w:tr>
      <w:tr>
        <w:tc>
          <w:tcPr>
            <w:tcW w:type="dxa" w:w="3389"/>
            <w:vAlign w:val="top"/>
            <w:tcMar>
              <w:top w:w="90" w:type="dxa"/>
              <w:start w:w="110" w:type="dxa"/>
              <w:bottom w:w="90" w:type="dxa"/>
              <w:end w:w="110" w:type="dxa"/>
            </w:tcMar>
          </w:tcPr>
          <w:p>
            <w:r>
              <w:t>август 2024</w:t>
            </w:r>
          </w:p>
        </w:tc>
        <w:tc>
          <w:tcPr>
            <w:tcW w:type="dxa" w:w="3389"/>
            <w:vAlign w:val="top"/>
            <w:tcMar>
              <w:top w:w="90" w:type="dxa"/>
              <w:start w:w="110" w:type="dxa"/>
              <w:bottom w:w="90" w:type="dxa"/>
              <w:end w:w="110" w:type="dxa"/>
            </w:tcMar>
          </w:tcPr>
          <w:p>
            <w:r>
              <w:t>116 магазинов INCITY + Deseo в России и один в Ереване; компания закрывала часть неэффективных точек.</w:t>
            </w:r>
          </w:p>
        </w:tc>
        <w:tc>
          <w:tcPr>
            <w:tcW w:type="dxa" w:w="3389"/>
            <w:vAlign w:val="top"/>
            <w:tcMar>
              <w:top w:w="90" w:type="dxa"/>
              <w:start w:w="110" w:type="dxa"/>
              <w:bottom w:w="90" w:type="dxa"/>
              <w:end w:w="110" w:type="dxa"/>
            </w:tcMar>
          </w:tcPr>
          <w:p>
            <w:r>
              <w:t>Сеть уже была значительно меньше пика.</w:t>
            </w:r>
          </w:p>
        </w:tc>
      </w:tr>
      <w:tr>
        <w:tc>
          <w:tcPr>
            <w:tcW w:type="dxa" w:w="3389"/>
            <w:vAlign w:val="top"/>
            <w:tcMar>
              <w:top w:w="90" w:type="dxa"/>
              <w:start w:w="110" w:type="dxa"/>
              <w:bottom w:w="90" w:type="dxa"/>
              <w:end w:w="110" w:type="dxa"/>
            </w:tcMar>
          </w:tcPr>
          <w:p>
            <w:r>
              <w:t>2024</w:t>
            </w:r>
          </w:p>
        </w:tc>
        <w:tc>
          <w:tcPr>
            <w:tcW w:type="dxa" w:w="3389"/>
            <w:vAlign w:val="top"/>
            <w:tcMar>
              <w:top w:w="90" w:type="dxa"/>
              <w:start w:w="110" w:type="dxa"/>
              <w:bottom w:w="90" w:type="dxa"/>
              <w:end w:w="110" w:type="dxa"/>
            </w:tcMar>
          </w:tcPr>
          <w:p>
            <w:r>
              <w:t>Выручка упала до 1,7 млрд ₽, чистый убыток вырос до 608 млн ₽; долговая нагрузка превышала 800 млн ₽.</w:t>
            </w:r>
          </w:p>
        </w:tc>
        <w:tc>
          <w:tcPr>
            <w:tcW w:type="dxa" w:w="3389"/>
            <w:vAlign w:val="top"/>
            <w:tcMar>
              <w:top w:w="90" w:type="dxa"/>
              <w:start w:w="110" w:type="dxa"/>
              <w:bottom w:w="90" w:type="dxa"/>
              <w:end w:w="110" w:type="dxa"/>
            </w:tcMar>
          </w:tcPr>
          <w:p>
            <w:r>
              <w:t>Падение оборота и убыток резко сужают финансовый коридор.</w:t>
            </w:r>
          </w:p>
        </w:tc>
      </w:tr>
      <w:tr>
        <w:tc>
          <w:tcPr>
            <w:tcW w:type="dxa" w:w="3389"/>
            <w:vAlign w:val="top"/>
            <w:tcMar>
              <w:top w:w="90" w:type="dxa"/>
              <w:start w:w="110" w:type="dxa"/>
              <w:bottom w:w="90" w:type="dxa"/>
              <w:end w:w="110" w:type="dxa"/>
            </w:tcMar>
          </w:tcPr>
          <w:p>
            <w:r>
              <w:t>I кв. 2025</w:t>
            </w:r>
          </w:p>
        </w:tc>
        <w:tc>
          <w:tcPr>
            <w:tcW w:type="dxa" w:w="3389"/>
            <w:vAlign w:val="top"/>
            <w:tcMar>
              <w:top w:w="90" w:type="dxa"/>
              <w:start w:w="110" w:type="dxa"/>
              <w:bottom w:w="90" w:type="dxa"/>
              <w:end w:w="110" w:type="dxa"/>
            </w:tcMar>
          </w:tcPr>
          <w:p>
            <w:r>
              <w:t>Продажи одежды INCITY на Wildberries, по данным площадки, снизились почти вдвое г/г.</w:t>
            </w:r>
          </w:p>
        </w:tc>
        <w:tc>
          <w:tcPr>
            <w:tcW w:type="dxa" w:w="3389"/>
            <w:vAlign w:val="top"/>
            <w:tcMar>
              <w:top w:w="90" w:type="dxa"/>
              <w:start w:w="110" w:type="dxa"/>
              <w:bottom w:w="90" w:type="dxa"/>
              <w:end w:w="110" w:type="dxa"/>
            </w:tcMar>
          </w:tcPr>
          <w:p>
            <w:r>
              <w:t>Цифровой канал не показывал публично видимой компенсации офлайн-спада.</w:t>
            </w:r>
          </w:p>
        </w:tc>
      </w:tr>
      <w:tr>
        <w:tc>
          <w:tcPr>
            <w:tcW w:type="dxa" w:w="3389"/>
            <w:vAlign w:val="top"/>
            <w:tcMar>
              <w:top w:w="90" w:type="dxa"/>
              <w:start w:w="110" w:type="dxa"/>
              <w:bottom w:w="90" w:type="dxa"/>
              <w:end w:w="110" w:type="dxa"/>
            </w:tcMar>
          </w:tcPr>
          <w:p>
            <w:r>
              <w:t>17 июня 2025</w:t>
            </w:r>
          </w:p>
        </w:tc>
        <w:tc>
          <w:tcPr>
            <w:tcW w:type="dxa" w:w="3389"/>
            <w:vAlign w:val="top"/>
            <w:tcMar>
              <w:top w:w="90" w:type="dxa"/>
              <w:start w:w="110" w:type="dxa"/>
              <w:bottom w:w="90" w:type="dxa"/>
              <w:end w:w="110" w:type="dxa"/>
            </w:tcMar>
          </w:tcPr>
          <w:p>
            <w:r>
              <w:t>Суд ввёл наблюдение по делу о банкротстве.</w:t>
            </w:r>
          </w:p>
        </w:tc>
        <w:tc>
          <w:tcPr>
            <w:tcW w:type="dxa" w:w="3389"/>
            <w:vAlign w:val="top"/>
            <w:tcMar>
              <w:top w:w="90" w:type="dxa"/>
              <w:start w:w="110" w:type="dxa"/>
              <w:bottom w:w="90" w:type="dxa"/>
              <w:end w:w="110" w:type="dxa"/>
            </w:tcMar>
          </w:tcPr>
          <w:p>
            <w:r>
              <w:t>Кризис перешёл в судебную процедуру.</w:t>
            </w:r>
          </w:p>
        </w:tc>
      </w:tr>
      <w:tr>
        <w:tc>
          <w:tcPr>
            <w:tcW w:type="dxa" w:w="3389"/>
            <w:vAlign w:val="top"/>
            <w:tcMar>
              <w:top w:w="90" w:type="dxa"/>
              <w:start w:w="110" w:type="dxa"/>
              <w:bottom w:w="90" w:type="dxa"/>
              <w:end w:w="110" w:type="dxa"/>
            </w:tcMar>
          </w:tcPr>
          <w:p>
            <w:r>
              <w:t>27 июня 2025</w:t>
            </w:r>
          </w:p>
        </w:tc>
        <w:tc>
          <w:tcPr>
            <w:tcW w:type="dxa" w:w="3389"/>
            <w:vAlign w:val="top"/>
            <w:tcMar>
              <w:top w:w="90" w:type="dxa"/>
              <w:start w:w="110" w:type="dxa"/>
              <w:bottom w:w="90" w:type="dxa"/>
              <w:end w:w="110" w:type="dxa"/>
            </w:tcMar>
          </w:tcPr>
          <w:p>
            <w:r>
              <w:t>Закрыты последние собственные магазины INCITY и Deseo; отдельные партнёрские точки могли сохраняться.</w:t>
            </w:r>
          </w:p>
        </w:tc>
        <w:tc>
          <w:tcPr>
            <w:tcW w:type="dxa" w:w="3389"/>
            <w:vAlign w:val="top"/>
            <w:tcMar>
              <w:top w:w="90" w:type="dxa"/>
              <w:start w:w="110" w:type="dxa"/>
              <w:bottom w:w="90" w:type="dxa"/>
              <w:end w:w="110" w:type="dxa"/>
            </w:tcMar>
          </w:tcPr>
          <w:p>
            <w:r>
              <w:t>Собственная розничная сеть фактически завершила работу.</w:t>
            </w:r>
          </w:p>
        </w:tc>
      </w:tr>
      <w:tr>
        <w:tc>
          <w:tcPr>
            <w:tcW w:type="dxa" w:w="3389"/>
            <w:vAlign w:val="top"/>
            <w:tcMar>
              <w:top w:w="90" w:type="dxa"/>
              <w:start w:w="110" w:type="dxa"/>
              <w:bottom w:w="90" w:type="dxa"/>
              <w:end w:w="110" w:type="dxa"/>
            </w:tcMar>
          </w:tcPr>
          <w:p>
            <w:r>
              <w:t>4 декабря 2025</w:t>
            </w:r>
          </w:p>
        </w:tc>
        <w:tc>
          <w:tcPr>
            <w:tcW w:type="dxa" w:w="3389"/>
            <w:vAlign w:val="top"/>
            <w:tcMar>
              <w:top w:w="90" w:type="dxa"/>
              <w:start w:w="110" w:type="dxa"/>
              <w:bottom w:w="90" w:type="dxa"/>
              <w:end w:w="110" w:type="dxa"/>
            </w:tcMar>
          </w:tcPr>
          <w:p>
            <w:r>
              <w:t>АО «Модный континент» признано банкротом; открыто конкурсное производство.</w:t>
            </w:r>
          </w:p>
        </w:tc>
        <w:tc>
          <w:tcPr>
            <w:tcW w:type="dxa" w:w="3389"/>
            <w:vAlign w:val="top"/>
            <w:tcMar>
              <w:top w:w="90" w:type="dxa"/>
              <w:start w:w="110" w:type="dxa"/>
              <w:bottom w:w="90" w:type="dxa"/>
              <w:end w:w="110" w:type="dxa"/>
            </w:tcMar>
          </w:tcPr>
          <w:p>
            <w:r>
              <w:t>Юридический финал компании.</w:t>
            </w:r>
          </w:p>
        </w:tc>
      </w:tr>
      <w:tr>
        <w:tc>
          <w:tcPr>
            <w:tcW w:type="dxa" w:w="3389"/>
            <w:vAlign w:val="top"/>
            <w:tcMar>
              <w:top w:w="90" w:type="dxa"/>
              <w:start w:w="110" w:type="dxa"/>
              <w:bottom w:w="90" w:type="dxa"/>
              <w:end w:w="110" w:type="dxa"/>
            </w:tcMar>
          </w:tcPr>
          <w:p>
            <w:r>
              <w:t>лето 2026</w:t>
            </w:r>
          </w:p>
        </w:tc>
        <w:tc>
          <w:tcPr>
            <w:tcW w:type="dxa" w:w="3389"/>
            <w:vAlign w:val="top"/>
            <w:tcMar>
              <w:top w:w="90" w:type="dxa"/>
              <w:start w:w="110" w:type="dxa"/>
              <w:bottom w:w="90" w:type="dxa"/>
              <w:end w:w="110" w:type="dxa"/>
            </w:tcMar>
          </w:tcPr>
          <w:p>
            <w:r>
              <w:t>В конкурсной процедуре выставлялись активы должника, включая права требования и товарные знаки.</w:t>
            </w:r>
          </w:p>
        </w:tc>
        <w:tc>
          <w:tcPr>
            <w:tcW w:type="dxa" w:w="3389"/>
            <w:vAlign w:val="top"/>
            <w:tcMar>
              <w:top w:w="90" w:type="dxa"/>
              <w:start w:w="110" w:type="dxa"/>
              <w:bottom w:w="90" w:type="dxa"/>
              <w:end w:w="110" w:type="dxa"/>
            </w:tcMar>
          </w:tcPr>
          <w:p>
            <w:r>
              <w:t>Процедура перешла к реализации конкурсной массы.</w:t>
            </w:r>
          </w:p>
        </w:tc>
      </w:tr>
    </w:tbl>
    <w:p/>
    <w:p>
      <w:pPr>
        <w:pStyle w:val="Heading1"/>
      </w:pPr>
      <w:r>
        <w:t>3. Что компания объясняла публично</w:t>
      </w:r>
    </w:p>
    <w:p>
      <w:r>
        <w:t>В августе 2024 года гендиректор Ольга Татарченкова объясняла «Коммерсанту», что пандемия почти полностью парализовала розничную сеть на длительный период и сформировались значительные непроданные остатки. Также назывались экономическая нестабильность, санкции, сложности расчётов с поставщиками и неудобные локации части магазинов. Эти объяснения важны как позиция компании, но не дают возможности посчитать вклад каждого фактора.</w:t>
      </w:r>
    </w:p>
    <w:p>
      <w:pPr>
        <w:pStyle w:val="Heading1"/>
      </w:pPr>
      <w:r>
        <w:t>4. Что отмечали внешние эксперты</w:t>
      </w:r>
    </w:p>
    <w:p>
      <w:r>
        <w:t>В августе 2024 года «Коммерсантъ» приводил оценки участников fashion-рынка: INCITY не смогла выиграть от ухода иностранных игроков; ассортимент называли скудным, а ценовую политику — непродуманной. Весной 2025 года эксперты указывали, что бренд давно уступал более динамичным сетям. Важно сохранять оговорку: это внешние оценки, а не установленная судом причина банкротства.</w:t>
      </w:r>
    </w:p>
    <w:p>
      <w:pPr>
        <w:pStyle w:val="Heading1"/>
      </w:pPr>
      <w:r>
        <w:t>5. Причина №1: размытое ценностное обещание</w:t>
      </w:r>
    </w:p>
    <w:p>
      <w:r>
        <w:t>Узнаваемость и актуальность — разные вещи. Покупатель может помнить бренд, но не видеть причины заходить в него снова. В масс-маркете это особенно опасно: если стиль, цена и качество не складываются в ясное предложение, клиент легко переключается. После ухода части международных марок освободилась рыночная возможность, но она не превращается в продажи автоматически.</w:t>
      </w:r>
    </w:p>
    <w:tbl>
      <w:tblPr>
        <w:tblW w:type="auto" w:w="0"/>
        <w:tblLook w:firstColumn="1" w:firstRow="1" w:lastColumn="0" w:lastRow="0" w:noHBand="0" w:noVBand="1" w:val="04A0"/>
      </w:tblPr>
      <w:tblGrid>
        <w:gridCol w:w="10166"/>
      </w:tblGrid>
      <w:tr>
        <w:tc>
          <w:tcPr>
            <w:tcW w:type="dxa" w:w="10166"/>
            <w:shd w:fill="F7F3EB"/>
            <w:tcMar>
              <w:top w:w="140" w:type="dxa"/>
              <w:start w:w="160" w:type="dxa"/>
              <w:bottom w:w="140" w:type="dxa"/>
              <w:end w:w="160" w:type="dxa"/>
            </w:tcMar>
          </w:tcPr>
          <w:p>
            <w:r>
              <w:rPr>
                <w:b/>
                <w:color w:val="102238"/>
              </w:rPr>
              <w:t>Урок</w:t>
            </w:r>
            <w:r>
              <w:br/>
              <w:t>Бренд должен отвечать не на вопрос «нас знают?», а на вопрос «почему покупатель выберет нас сегодня и повторит покупку через месяц?»</w:t>
            </w:r>
          </w:p>
        </w:tc>
      </w:tr>
    </w:tbl>
    <w:p/>
    <w:p>
      <w:pPr>
        <w:pStyle w:val="Heading1"/>
      </w:pPr>
      <w:r>
        <w:t>6. Причина №2: ассортимент и цена перестают попадать в спрос</w:t>
      </w:r>
    </w:p>
    <w:p>
      <w:r>
        <w:t>Для fashion-ритейла слабый ассортимент создаёт не только проблему трафика. Он влияет на валовую прибыль, оборачиваемость и денежный цикл. Если свежие SKU продаются только после markdown, скидка превращается из инструмента маркетинга в механизм высвобождения денег из ошибочной закупки.</w:t>
      </w:r>
    </w:p>
    <w:p>
      <w:pPr>
        <w:pStyle w:val="ListBullet"/>
      </w:pPr>
      <w:r>
        <w:t>sell-through новой коллекции;</w:t>
      </w:r>
    </w:p>
    <w:p>
      <w:pPr>
        <w:pStyle w:val="ListBullet"/>
      </w:pPr>
      <w:r>
        <w:t>доля продаж без скидки;</w:t>
      </w:r>
    </w:p>
    <w:p>
      <w:pPr>
        <w:pStyle w:val="ListBullet"/>
      </w:pPr>
      <w:r>
        <w:t>возраст запасов 60/90/120/180+ дней;</w:t>
      </w:r>
    </w:p>
    <w:p>
      <w:pPr>
        <w:pStyle w:val="ListBullet"/>
      </w:pPr>
      <w:r>
        <w:t>markdown как доля выручки и потерянной маржи;</w:t>
      </w:r>
    </w:p>
    <w:p>
      <w:pPr>
        <w:pStyle w:val="ListBullet"/>
      </w:pPr>
      <w:r>
        <w:t>out-of-stock размеров и бестселлеров;</w:t>
      </w:r>
    </w:p>
    <w:p>
      <w:pPr>
        <w:pStyle w:val="ListBullet"/>
      </w:pPr>
      <w:r>
        <w:t>валовая прибыль на SKU/категорию;</w:t>
      </w:r>
    </w:p>
    <w:p>
      <w:pPr>
        <w:pStyle w:val="ListBullet"/>
      </w:pPr>
      <w:r>
        <w:t>повторная покупка по категории.</w:t>
      </w:r>
    </w:p>
    <w:p>
      <w:pPr>
        <w:pStyle w:val="Heading1"/>
      </w:pPr>
      <w:r>
        <w:t>7. Причина №3: старый товар превращается в финансовый якорь</w:t>
      </w:r>
    </w:p>
    <w:p>
      <w:r>
        <w:t>Непроданный товар — это не просто складская проблема. Это деньги, которых нет в кассе для новой коллекции. Чем старше fashion-запас, тем выше вероятность markdown и тем меньше денег остаётся на обновление предложения. Возникает отрицательная петля: слабые продажи → старые остатки → меньше cash на новый ассортимент → предложение становится слабее → продажи падают дальше.</w:t>
      </w:r>
    </w:p>
    <w:p>
      <w:pPr>
        <w:pStyle w:val="Heading1"/>
      </w:pPr>
      <w:r>
        <w:t>8. Причина №4: сеть становится тяжелее своей выручки</w:t>
      </w:r>
    </w:p>
    <w:p>
      <w:r>
        <w:t>Магазин несёт аренду, ФОТ, эксплуатацию и часть централизованных расходов независимо от того, насколько актуален продукт. При снижении выручки фиксированные расходы начинают поглощать всё большую долю валовой прибыли. Поэтому сильная сеть — это портфель точек с понятным contribution, а не просто большое количество адресов.</w:t>
      </w:r>
    </w:p>
    <w:p>
      <w:r>
        <w:t>Закрытие слабой точки не является признаком провала само по себе. Проблема — если классификация Protect / Relaunch / Exit начинается после того, как cash buffer уже слишком мал для нормального перезапуска.</w:t>
      </w:r>
    </w:p>
    <w:p>
      <w:pPr>
        <w:pStyle w:val="Heading1"/>
      </w:pPr>
      <w:r>
        <w:t>9. Причина №5: онлайн не стал страховочным контуром</w:t>
      </w:r>
    </w:p>
    <w:p>
      <w:r>
        <w:t>Падение продаж INCITY на Wildberries почти вдвое г/г в I квартале 2025 года не доказывает, что маркетплейсы были причиной кризиса. Но это важный симптом: когда офлайн-сеть уменьшается, цифровой канал должен либо компенсировать часть потерянного спроса, либо хотя бы создавать положительный contribution. Оборот маркетплейса без учёта комиссии, логистики, возвратов и рекламы может давать ложное ощущение роста.</w:t>
      </w:r>
    </w:p>
    <w:p>
      <w:pPr>
        <w:pStyle w:val="Heading1"/>
      </w:pPr>
      <w:r>
        <w:t>10. Причина №6: маркетинг не заменяет перестройку модели</w:t>
      </w:r>
    </w:p>
    <w:p>
      <w:r>
        <w:t>Коллаборации и тематические коллекции могут давать охват, но не исправляют базовый cash conversion, ассортимент, unit economics точек и ценовое предложение. В кризисе маркетинговая активность становится особенно опасной, если компания не может доказать, какой операционный показатель она должна изменить.</w:t>
      </w:r>
    </w:p>
    <w:p>
      <w:pPr>
        <w:pStyle w:val="Heading1"/>
      </w:pPr>
      <w:r>
        <w:t>11. Причина №7: ликвидность исчезает раньше идеи реформы</w:t>
      </w:r>
    </w:p>
    <w:p>
      <w:r>
        <w:t>Комбинация 608 млн ₽ чистого убытка, падения выручки до 1,7 млрд ₽ и долговой нагрузки свыше 800 млн ₽ по итогам 2024 года показывает, насколько узким становился финансовый коридор. Эти показатели не позволяют вычислить фактический cash burn или DSCR, но демонстрируют, что одновременно финансировать старые обязательства, новый ассортимент, онлайн, закрытие точек и перезапуск бренда становится всё сложнее.</w:t>
      </w:r>
    </w:p>
    <w:p>
      <w:pPr>
        <w:pStyle w:val="Heading1"/>
      </w:pPr>
      <w:r>
        <w:t>12. Карта механизма кризиса</w:t>
      </w:r>
    </w:p>
    <w:tbl>
      <w:tblPr>
        <w:tblStyle w:val="TableGrid"/>
        <w:tblW w:type="auto" w:w="0"/>
        <w:jc w:val="center"/>
        <w:tblLook w:firstColumn="1" w:firstRow="1" w:lastColumn="0" w:lastRow="0" w:noHBand="0" w:noVBand="1" w:val="04A0"/>
      </w:tblPr>
      <w:tblGrid>
        <w:gridCol w:w="3389"/>
        <w:gridCol w:w="3389"/>
        <w:gridCol w:w="3389"/>
      </w:tblGrid>
      <w:tr>
        <w:trPr>
          <w:tblHeader w:val="true"/>
        </w:trPr>
        <w:tc>
          <w:tcPr>
            <w:tcW w:type="dxa" w:w="3389"/>
            <w:shd w:fill="102238"/>
            <w:tcMar>
              <w:top w:w="90" w:type="dxa"/>
              <w:start w:w="110" w:type="dxa"/>
              <w:bottom w:w="90" w:type="dxa"/>
              <w:end w:w="110" w:type="dxa"/>
            </w:tcMar>
          </w:tcPr>
          <w:p>
            <w:r>
              <w:rPr>
                <w:b/>
                <w:color w:val="FFFFFF"/>
              </w:rPr>
              <w:t>Слабый фактор</w:t>
            </w:r>
          </w:p>
        </w:tc>
        <w:tc>
          <w:tcPr>
            <w:tcW w:type="dxa" w:w="3389"/>
            <w:shd w:fill="102238"/>
            <w:tcMar>
              <w:top w:w="90" w:type="dxa"/>
              <w:start w:w="110" w:type="dxa"/>
              <w:bottom w:w="90" w:type="dxa"/>
              <w:end w:w="110" w:type="dxa"/>
            </w:tcMar>
          </w:tcPr>
          <w:p>
            <w:r>
              <w:rPr>
                <w:b/>
                <w:color w:val="FFFFFF"/>
              </w:rPr>
              <w:t>Что он ухудшает</w:t>
            </w:r>
          </w:p>
        </w:tc>
        <w:tc>
          <w:tcPr>
            <w:tcW w:type="dxa" w:w="3389"/>
            <w:shd w:fill="102238"/>
            <w:tcMar>
              <w:top w:w="90" w:type="dxa"/>
              <w:start w:w="110" w:type="dxa"/>
              <w:bottom w:w="90" w:type="dxa"/>
              <w:end w:w="110" w:type="dxa"/>
            </w:tcMar>
          </w:tcPr>
          <w:p>
            <w:r>
              <w:rPr>
                <w:b/>
                <w:color w:val="FFFFFF"/>
              </w:rPr>
              <w:t>Следующий эффект</w:t>
            </w:r>
          </w:p>
        </w:tc>
      </w:tr>
      <w:tr>
        <w:tc>
          <w:tcPr>
            <w:tcW w:type="dxa" w:w="3389"/>
            <w:vAlign w:val="top"/>
            <w:tcMar>
              <w:top w:w="90" w:type="dxa"/>
              <w:start w:w="110" w:type="dxa"/>
              <w:bottom w:w="90" w:type="dxa"/>
              <w:end w:w="110" w:type="dxa"/>
            </w:tcMar>
          </w:tcPr>
          <w:p>
            <w:r>
              <w:t>Слабое попадание ассортимента</w:t>
            </w:r>
          </w:p>
        </w:tc>
        <w:tc>
          <w:tcPr>
            <w:tcW w:type="dxa" w:w="3389"/>
            <w:vAlign w:val="top"/>
            <w:tcMar>
              <w:top w:w="90" w:type="dxa"/>
              <w:start w:w="110" w:type="dxa"/>
              <w:bottom w:w="90" w:type="dxa"/>
              <w:end w:w="110" w:type="dxa"/>
            </w:tcMar>
          </w:tcPr>
          <w:p>
            <w:r>
              <w:t>продажи без скидки</w:t>
            </w:r>
          </w:p>
        </w:tc>
        <w:tc>
          <w:tcPr>
            <w:tcW w:type="dxa" w:w="3389"/>
            <w:vAlign w:val="top"/>
            <w:tcMar>
              <w:top w:w="90" w:type="dxa"/>
              <w:start w:w="110" w:type="dxa"/>
              <w:bottom w:w="90" w:type="dxa"/>
              <w:end w:w="110" w:type="dxa"/>
            </w:tcMar>
          </w:tcPr>
          <w:p>
            <w:r>
              <w:t>рост markdown</w:t>
            </w:r>
          </w:p>
        </w:tc>
      </w:tr>
      <w:tr>
        <w:tc>
          <w:tcPr>
            <w:tcW w:type="dxa" w:w="3389"/>
            <w:vAlign w:val="top"/>
            <w:tcMar>
              <w:top w:w="90" w:type="dxa"/>
              <w:start w:w="110" w:type="dxa"/>
              <w:bottom w:w="90" w:type="dxa"/>
              <w:end w:w="110" w:type="dxa"/>
            </w:tcMar>
          </w:tcPr>
          <w:p>
            <w:r>
              <w:t>Рост markdown</w:t>
            </w:r>
          </w:p>
        </w:tc>
        <w:tc>
          <w:tcPr>
            <w:tcW w:type="dxa" w:w="3389"/>
            <w:vAlign w:val="top"/>
            <w:tcMar>
              <w:top w:w="90" w:type="dxa"/>
              <w:start w:w="110" w:type="dxa"/>
              <w:bottom w:w="90" w:type="dxa"/>
              <w:end w:w="110" w:type="dxa"/>
            </w:tcMar>
          </w:tcPr>
          <w:p>
            <w:r>
              <w:t>валовую маржу</w:t>
            </w:r>
          </w:p>
        </w:tc>
        <w:tc>
          <w:tcPr>
            <w:tcW w:type="dxa" w:w="3389"/>
            <w:vAlign w:val="top"/>
            <w:tcMar>
              <w:top w:w="90" w:type="dxa"/>
              <w:start w:w="110" w:type="dxa"/>
              <w:bottom w:w="90" w:type="dxa"/>
              <w:end w:w="110" w:type="dxa"/>
            </w:tcMar>
          </w:tcPr>
          <w:p>
            <w:r>
              <w:t>меньше cash на закупку</w:t>
            </w:r>
          </w:p>
        </w:tc>
      </w:tr>
      <w:tr>
        <w:tc>
          <w:tcPr>
            <w:tcW w:type="dxa" w:w="3389"/>
            <w:vAlign w:val="top"/>
            <w:tcMar>
              <w:top w:w="90" w:type="dxa"/>
              <w:start w:w="110" w:type="dxa"/>
              <w:bottom w:w="90" w:type="dxa"/>
              <w:end w:w="110" w:type="dxa"/>
            </w:tcMar>
          </w:tcPr>
          <w:p>
            <w:r>
              <w:t>Старые остатки</w:t>
            </w:r>
          </w:p>
        </w:tc>
        <w:tc>
          <w:tcPr>
            <w:tcW w:type="dxa" w:w="3389"/>
            <w:vAlign w:val="top"/>
            <w:tcMar>
              <w:top w:w="90" w:type="dxa"/>
              <w:start w:w="110" w:type="dxa"/>
              <w:bottom w:w="90" w:type="dxa"/>
              <w:end w:w="110" w:type="dxa"/>
            </w:tcMar>
          </w:tcPr>
          <w:p>
            <w:r>
              <w:t>оборотный капитал</w:t>
            </w:r>
          </w:p>
        </w:tc>
        <w:tc>
          <w:tcPr>
            <w:tcW w:type="dxa" w:w="3389"/>
            <w:vAlign w:val="top"/>
            <w:tcMar>
              <w:top w:w="90" w:type="dxa"/>
              <w:start w:w="110" w:type="dxa"/>
              <w:bottom w:w="90" w:type="dxa"/>
              <w:end w:w="110" w:type="dxa"/>
            </w:tcMar>
          </w:tcPr>
          <w:p>
            <w:r>
              <w:t>сокращение новой коллекции</w:t>
            </w:r>
          </w:p>
        </w:tc>
      </w:tr>
      <w:tr>
        <w:tc>
          <w:tcPr>
            <w:tcW w:type="dxa" w:w="3389"/>
            <w:vAlign w:val="top"/>
            <w:tcMar>
              <w:top w:w="90" w:type="dxa"/>
              <w:start w:w="110" w:type="dxa"/>
              <w:bottom w:w="90" w:type="dxa"/>
              <w:end w:w="110" w:type="dxa"/>
            </w:tcMar>
          </w:tcPr>
          <w:p>
            <w:r>
              <w:t>Слабая новая коллекция</w:t>
            </w:r>
          </w:p>
        </w:tc>
        <w:tc>
          <w:tcPr>
            <w:tcW w:type="dxa" w:w="3389"/>
            <w:vAlign w:val="top"/>
            <w:tcMar>
              <w:top w:w="90" w:type="dxa"/>
              <w:start w:w="110" w:type="dxa"/>
              <w:bottom w:w="90" w:type="dxa"/>
              <w:end w:w="110" w:type="dxa"/>
            </w:tcMar>
          </w:tcPr>
          <w:p>
            <w:r>
              <w:t>повторные покупки</w:t>
            </w:r>
          </w:p>
        </w:tc>
        <w:tc>
          <w:tcPr>
            <w:tcW w:type="dxa" w:w="3389"/>
            <w:vAlign w:val="top"/>
            <w:tcMar>
              <w:top w:w="90" w:type="dxa"/>
              <w:start w:w="110" w:type="dxa"/>
              <w:bottom w:w="90" w:type="dxa"/>
              <w:end w:w="110" w:type="dxa"/>
            </w:tcMar>
          </w:tcPr>
          <w:p>
            <w:r>
              <w:t>ещё ниже трафик/конверсия</w:t>
            </w:r>
          </w:p>
        </w:tc>
      </w:tr>
      <w:tr>
        <w:tc>
          <w:tcPr>
            <w:tcW w:type="dxa" w:w="3389"/>
            <w:vAlign w:val="top"/>
            <w:tcMar>
              <w:top w:w="90" w:type="dxa"/>
              <w:start w:w="110" w:type="dxa"/>
              <w:bottom w:w="90" w:type="dxa"/>
              <w:end w:w="110" w:type="dxa"/>
            </w:tcMar>
          </w:tcPr>
          <w:p>
            <w:r>
              <w:t>Падающая выручка</w:t>
            </w:r>
          </w:p>
        </w:tc>
        <w:tc>
          <w:tcPr>
            <w:tcW w:type="dxa" w:w="3389"/>
            <w:vAlign w:val="top"/>
            <w:tcMar>
              <w:top w:w="90" w:type="dxa"/>
              <w:start w:w="110" w:type="dxa"/>
              <w:bottom w:w="90" w:type="dxa"/>
              <w:end w:w="110" w:type="dxa"/>
            </w:tcMar>
          </w:tcPr>
          <w:p>
            <w:r>
              <w:t>rent/payroll leverage</w:t>
            </w:r>
          </w:p>
        </w:tc>
        <w:tc>
          <w:tcPr>
            <w:tcW w:type="dxa" w:w="3389"/>
            <w:vAlign w:val="top"/>
            <w:tcMar>
              <w:top w:w="90" w:type="dxa"/>
              <w:start w:w="110" w:type="dxa"/>
              <w:bottom w:w="90" w:type="dxa"/>
              <w:end w:w="110" w:type="dxa"/>
            </w:tcMar>
          </w:tcPr>
          <w:p>
            <w:r>
              <w:t>точки уходят в отрицательный contribution</w:t>
            </w:r>
          </w:p>
        </w:tc>
      </w:tr>
      <w:tr>
        <w:tc>
          <w:tcPr>
            <w:tcW w:type="dxa" w:w="3389"/>
            <w:vAlign w:val="top"/>
            <w:tcMar>
              <w:top w:w="90" w:type="dxa"/>
              <w:start w:w="110" w:type="dxa"/>
              <w:bottom w:w="90" w:type="dxa"/>
              <w:end w:w="110" w:type="dxa"/>
            </w:tcMar>
          </w:tcPr>
          <w:p>
            <w:r>
              <w:t>Отрицательные точки</w:t>
            </w:r>
          </w:p>
        </w:tc>
        <w:tc>
          <w:tcPr>
            <w:tcW w:type="dxa" w:w="3389"/>
            <w:vAlign w:val="top"/>
            <w:tcMar>
              <w:top w:w="90" w:type="dxa"/>
              <w:start w:w="110" w:type="dxa"/>
              <w:bottom w:w="90" w:type="dxa"/>
              <w:end w:w="110" w:type="dxa"/>
            </w:tcMar>
          </w:tcPr>
          <w:p>
            <w:r>
              <w:t>cash</w:t>
            </w:r>
          </w:p>
        </w:tc>
        <w:tc>
          <w:tcPr>
            <w:tcW w:type="dxa" w:w="3389"/>
            <w:vAlign w:val="top"/>
            <w:tcMar>
              <w:top w:w="90" w:type="dxa"/>
              <w:start w:w="110" w:type="dxa"/>
              <w:bottom w:w="90" w:type="dxa"/>
              <w:end w:w="110" w:type="dxa"/>
            </w:tcMar>
          </w:tcPr>
          <w:p>
            <w:r>
              <w:t>сильные точки субсидируют слабые</w:t>
            </w:r>
          </w:p>
        </w:tc>
      </w:tr>
      <w:tr>
        <w:tc>
          <w:tcPr>
            <w:tcW w:type="dxa" w:w="3389"/>
            <w:vAlign w:val="top"/>
            <w:tcMar>
              <w:top w:w="90" w:type="dxa"/>
              <w:start w:w="110" w:type="dxa"/>
              <w:bottom w:w="90" w:type="dxa"/>
              <w:end w:w="110" w:type="dxa"/>
            </w:tcMar>
          </w:tcPr>
          <w:p>
            <w:r>
              <w:t>Сокращение cash</w:t>
            </w:r>
          </w:p>
        </w:tc>
        <w:tc>
          <w:tcPr>
            <w:tcW w:type="dxa" w:w="3389"/>
            <w:vAlign w:val="top"/>
            <w:tcMar>
              <w:top w:w="90" w:type="dxa"/>
              <w:start w:w="110" w:type="dxa"/>
              <w:bottom w:w="90" w:type="dxa"/>
              <w:end w:w="110" w:type="dxa"/>
            </w:tcMar>
          </w:tcPr>
          <w:p>
            <w:r>
              <w:t>инвестиции в перестройку</w:t>
            </w:r>
          </w:p>
        </w:tc>
        <w:tc>
          <w:tcPr>
            <w:tcW w:type="dxa" w:w="3389"/>
            <w:vAlign w:val="top"/>
            <w:tcMar>
              <w:top w:w="90" w:type="dxa"/>
              <w:start w:w="110" w:type="dxa"/>
              <w:bottom w:w="90" w:type="dxa"/>
              <w:end w:w="110" w:type="dxa"/>
            </w:tcMar>
          </w:tcPr>
          <w:p>
            <w:r>
              <w:t>изменения запаздывают</w:t>
            </w:r>
          </w:p>
        </w:tc>
      </w:tr>
      <w:tr>
        <w:tc>
          <w:tcPr>
            <w:tcW w:type="dxa" w:w="3389"/>
            <w:vAlign w:val="top"/>
            <w:tcMar>
              <w:top w:w="90" w:type="dxa"/>
              <w:start w:w="110" w:type="dxa"/>
              <w:bottom w:w="90" w:type="dxa"/>
              <w:end w:w="110" w:type="dxa"/>
            </w:tcMar>
          </w:tcPr>
          <w:p>
            <w:r>
              <w:t>Долг/обязательства</w:t>
            </w:r>
          </w:p>
        </w:tc>
        <w:tc>
          <w:tcPr>
            <w:tcW w:type="dxa" w:w="3389"/>
            <w:vAlign w:val="top"/>
            <w:tcMar>
              <w:top w:w="90" w:type="dxa"/>
              <w:start w:w="110" w:type="dxa"/>
              <w:bottom w:w="90" w:type="dxa"/>
              <w:end w:w="110" w:type="dxa"/>
            </w:tcMar>
          </w:tcPr>
          <w:p>
            <w:r>
              <w:t>runway</w:t>
            </w:r>
          </w:p>
        </w:tc>
        <w:tc>
          <w:tcPr>
            <w:tcW w:type="dxa" w:w="3389"/>
            <w:vAlign w:val="top"/>
            <w:tcMar>
              <w:top w:w="90" w:type="dxa"/>
              <w:start w:w="110" w:type="dxa"/>
              <w:bottom w:w="90" w:type="dxa"/>
              <w:end w:w="110" w:type="dxa"/>
            </w:tcMar>
          </w:tcPr>
          <w:p>
            <w:r>
              <w:t>кризис переходит в юридическую стадию</w:t>
            </w:r>
          </w:p>
        </w:tc>
      </w:tr>
    </w:tbl>
    <w:p/>
    <w:p>
      <w:pPr>
        <w:pStyle w:val="Heading1"/>
      </w:pPr>
      <w:r>
        <w:t>13. Что было ранними сигналами</w:t>
      </w:r>
    </w:p>
    <w:p>
      <w:pPr>
        <w:pStyle w:val="ListBullet"/>
      </w:pPr>
      <w:r>
        <w:t>выручка падает быстрее, чем управленческий план или рынок;</w:t>
      </w:r>
    </w:p>
    <w:p>
      <w:pPr>
        <w:pStyle w:val="ListBullet"/>
      </w:pPr>
      <w:r>
        <w:t>продажи на м² / на точку снижаются несколько месяцев;</w:t>
      </w:r>
    </w:p>
    <w:p>
      <w:pPr>
        <w:pStyle w:val="ListBullet"/>
      </w:pPr>
      <w:r>
        <w:t>markdown растёт, а продажи без скидки уменьшаются;</w:t>
      </w:r>
    </w:p>
    <w:p>
      <w:pPr>
        <w:pStyle w:val="ListBullet"/>
      </w:pPr>
      <w:r>
        <w:t>запасы 90+/120+/180+ дней растут в себестоимости;</w:t>
      </w:r>
    </w:p>
    <w:p>
      <w:pPr>
        <w:pStyle w:val="ListBullet"/>
      </w:pPr>
      <w:r>
        <w:t>сильные SKU заканчиваются, но общий склад высокий;</w:t>
      </w:r>
    </w:p>
    <w:p>
      <w:pPr>
        <w:pStyle w:val="ListBullet"/>
      </w:pPr>
      <w:r>
        <w:t>точки с отрицательным contribution продолжают работать без gate на выход;</w:t>
      </w:r>
    </w:p>
    <w:p>
      <w:pPr>
        <w:pStyle w:val="ListBullet"/>
      </w:pPr>
      <w:r>
        <w:t>аренда и ФОТ занимают всё больше валовой прибыли;</w:t>
      </w:r>
    </w:p>
    <w:p>
      <w:pPr>
        <w:pStyle w:val="ListBullet"/>
      </w:pPr>
      <w:r>
        <w:t>поставщики сокращают отсрочки или требуют предоплату;</w:t>
      </w:r>
    </w:p>
    <w:p>
      <w:pPr>
        <w:pStyle w:val="ListBullet"/>
      </w:pPr>
      <w:r>
        <w:t>онлайн увеличивает оборот, но не contribution;</w:t>
      </w:r>
    </w:p>
    <w:p>
      <w:pPr>
        <w:pStyle w:val="ListBullet"/>
      </w:pPr>
      <w:r>
        <w:t>13-недельный cash buffer падает ниже минимального рабочего уровня.</w:t>
      </w:r>
    </w:p>
    <w:p>
      <w:pPr>
        <w:pStyle w:val="Heading1"/>
      </w:pPr>
      <w:r>
        <w:t>14. Что нельзя утверждать по открытым данным</w:t>
      </w:r>
    </w:p>
    <w:p>
      <w:pPr>
        <w:pStyle w:val="ListBullet"/>
      </w:pPr>
      <w:r>
        <w:t>какой конкретно фактор был главным в процентах;</w:t>
      </w:r>
    </w:p>
    <w:p>
      <w:pPr>
        <w:pStyle w:val="ListBullet"/>
      </w:pPr>
      <w:r>
        <w:t>что отдельная коллаборация была «ошибкой», а не попыткой исправить спрос;</w:t>
      </w:r>
    </w:p>
    <w:p>
      <w:pPr>
        <w:pStyle w:val="ListBullet"/>
      </w:pPr>
      <w:r>
        <w:t>что конкретный уровень аренды был причиной банкротства без store-level P&amp;L;</w:t>
      </w:r>
    </w:p>
    <w:p>
      <w:pPr>
        <w:pStyle w:val="ListBullet"/>
      </w:pPr>
      <w:r>
        <w:t>что маркетплейсы «погубили» компанию;</w:t>
      </w:r>
    </w:p>
    <w:p>
      <w:pPr>
        <w:pStyle w:val="ListBullet"/>
      </w:pPr>
      <w:r>
        <w:t>что альтернативный антикризисный план гарантированно спас бы бизнес;</w:t>
      </w:r>
    </w:p>
    <w:p>
      <w:pPr>
        <w:pStyle w:val="ListBullet"/>
      </w:pPr>
      <w:r>
        <w:t>что банкротом юридически стал сам бренд INCITY.</w:t>
      </w:r>
    </w:p>
    <w:p>
      <w:pPr>
        <w:pStyle w:val="Heading1"/>
      </w:pPr>
      <w:r>
        <w:t>15. Что могла бы делать любая сеть раньше — не ретроспективное обещание спасения</w:t>
      </w:r>
    </w:p>
    <w:p>
      <w:pPr>
        <w:pStyle w:val="ListNumber"/>
      </w:pPr>
      <w:r>
        <w:t>Разделить все точки на Protect / Relaunch / Exit по contribution и cash impact.</w:t>
      </w:r>
    </w:p>
    <w:p>
      <w:pPr>
        <w:pStyle w:val="ListNumber"/>
      </w:pPr>
      <w:r>
        <w:t>Отдельно посчитать старый товар и новую коллекцию: у них разные цели и markdown.</w:t>
      </w:r>
    </w:p>
    <w:p>
      <w:pPr>
        <w:pStyle w:val="ListNumber"/>
      </w:pPr>
      <w:r>
        <w:t>Заморозить масштабирование, пока слабая сеть не выдерживает stress-test.</w:t>
      </w:r>
    </w:p>
    <w:p>
      <w:pPr>
        <w:pStyle w:val="ListNumber"/>
      </w:pPr>
      <w:r>
        <w:t>Привязать закупку к cash-flow, а не к желаемому ассортиментному объёму.</w:t>
      </w:r>
    </w:p>
    <w:p>
      <w:pPr>
        <w:pStyle w:val="ListNumber"/>
      </w:pPr>
      <w:r>
        <w:t>Сравнивать каналы после всех комиссий, логистики, возвратов и маркетинга.</w:t>
      </w:r>
    </w:p>
    <w:p>
      <w:pPr>
        <w:pStyle w:val="ListNumber"/>
      </w:pPr>
      <w:r>
        <w:t>Переговариваться по аренде до того, как задолженность становится единственным аргументом.</w:t>
      </w:r>
    </w:p>
    <w:p>
      <w:pPr>
        <w:pStyle w:val="ListNumber"/>
      </w:pPr>
      <w:r>
        <w:t>Создать 13-недельный cash war room и обновлять его еженедельно.</w:t>
      </w:r>
    </w:p>
    <w:p>
      <w:pPr>
        <w:pStyle w:val="ListNumber"/>
      </w:pPr>
      <w:r>
        <w:t>Установить 30/60/90-дневные gates: если метрика не улучшилась, действие меняется или прекращается.</w:t>
      </w:r>
    </w:p>
    <w:p>
      <w:pPr>
        <w:pStyle w:val="Heading1"/>
      </w:pPr>
      <w:r>
        <w:t>16. Обновление на 2026 год</w:t>
      </w:r>
    </w:p>
    <w:p>
      <w:r>
        <w:t>После открытия конкурсного производства история не закончилась в декабре 2025 года. Летом 2026 года на торгах по банкротству выставлялись активы АО «Модный континент», включая права требования и права на товарные знаки. Для материала это важно как завершающая стадия механизма: когда операционный кризис не остановлен раньше, активы бизнеса уже рассматриваются не как инструменты будущего роста, а как конкурсная масса для расчётов с кредиторами.</w:t>
      </w:r>
    </w:p>
    <w:p>
      <w:pPr>
        <w:pStyle w:val="Heading1"/>
      </w:pPr>
      <w:r>
        <w:t>17. Главный урок</w:t>
      </w:r>
    </w:p>
    <w:tbl>
      <w:tblPr>
        <w:tblW w:type="auto" w:w="0"/>
        <w:tblLook w:firstColumn="1" w:firstRow="1" w:lastColumn="0" w:lastRow="0" w:noHBand="0" w:noVBand="1" w:val="04A0"/>
      </w:tblPr>
      <w:tblGrid>
        <w:gridCol w:w="10166"/>
      </w:tblGrid>
      <w:tr>
        <w:tc>
          <w:tcPr>
            <w:tcW w:type="dxa" w:w="10166"/>
            <w:shd w:fill="DDEFE4"/>
            <w:tcMar>
              <w:top w:w="140" w:type="dxa"/>
              <w:start w:w="160" w:type="dxa"/>
              <w:bottom w:w="140" w:type="dxa"/>
              <w:end w:w="160" w:type="dxa"/>
            </w:tcMar>
          </w:tcPr>
          <w:p>
            <w:r>
              <w:rPr>
                <w:b/>
                <w:color w:val="102238"/>
              </w:rPr>
              <w:t>Не ждать банкротства как сигнала кризиса</w:t>
            </w:r>
            <w:r>
              <w:br/>
              <w:t>Юридический финал наступает поздно. Управленческий кризис начинается в тот момент, когда товар стареет быстрее, чем продаётся, скидка становится постоянной, точки теряют contribution, а деньги на перестройку уже уходят на поддержание старой модели.</w:t>
            </w:r>
          </w:p>
        </w:tc>
      </w:tr>
    </w:tbl>
    <w:p/>
    <w:p>
      <w:pPr>
        <w:pStyle w:val="Heading1"/>
      </w:pPr>
      <w:r>
        <w:t>18. Как работать с приложениями</w:t>
      </w:r>
    </w:p>
    <w:p>
      <w:r>
        <w:rPr>
          <w:b/>
        </w:rPr>
        <w:t>stress-test-i-rannie-signaly-roznichnogo-krizisa-2026.xlsx</w:t>
      </w:r>
      <w:r>
        <w:t xml:space="preserve"> — диагностика точек, запасов, каналов, cash, stress-test и Dashboard</w:t>
      </w:r>
    </w:p>
    <w:p>
      <w:r>
        <w:rPr>
          <w:b/>
        </w:rPr>
        <w:t>matrix-ustoychivosti-i-toolkit-roznichnoy-modeli.docx</w:t>
      </w:r>
      <w:r>
        <w:t xml:space="preserve"> — матрица устойчивости, ранние сигналы и быстрые аудиты</w:t>
      </w:r>
    </w:p>
    <w:p>
      <w:r>
        <w:rPr>
          <w:b/>
        </w:rPr>
        <w:t>antikrizisnyy-playbook-fashion-retail.docx</w:t>
      </w:r>
      <w:r>
        <w:t xml:space="preserve"> — последовательность решений в кризисе</w:t>
      </w:r>
    </w:p>
    <w:p>
      <w:r>
        <w:rPr>
          <w:b/>
        </w:rPr>
        <w:t>plan-90-dney-roznichnyy-krizis.docx</w:t>
      </w:r>
      <w:r>
        <w:t xml:space="preserve"> — пошаговые 90 дней с gates</w:t>
      </w:r>
    </w:p>
    <w:p>
      <w:pPr>
        <w:pStyle w:val="Heading1"/>
      </w:pPr>
      <w:r>
        <w:t>Источники</w:t>
      </w:r>
    </w:p>
    <w:p>
      <w:r>
        <w:rPr>
          <w:b/>
        </w:rPr>
        <w:t xml:space="preserve">Коммерсантъ, 12.08.2024: </w:t>
      </w:r>
      <w:r>
        <w:t>https://www.kommersant.ru/doc/6890879</w:t>
      </w:r>
    </w:p>
    <w:p>
      <w:r>
        <w:rPr>
          <w:b/>
        </w:rPr>
        <w:t xml:space="preserve">Коммерсантъ, 15.04.2025: </w:t>
      </w:r>
      <w:r>
        <w:t>https://www.kommersant.ru/doc/7657349</w:t>
      </w:r>
    </w:p>
    <w:p>
      <w:r>
        <w:rPr>
          <w:b/>
        </w:rPr>
        <w:t xml:space="preserve">Forbes, 27.06.2025: </w:t>
      </w:r>
      <w:r>
        <w:t>https://www.forbes.ru/biznes/540621-vedomosti-uznali-o-zakrytii-vseh-magazinov-incity</w:t>
      </w:r>
    </w:p>
    <w:p>
      <w:r>
        <w:rPr>
          <w:b/>
        </w:rPr>
        <w:t xml:space="preserve">Ведомости, 04.12.2025: </w:t>
      </w:r>
      <w:r>
        <w:t>https://www.vedomosti.ru/society/news/2025/12/04/1160703-arbitrazhnii-sud-priznal</w:t>
      </w:r>
    </w:p>
    <w:p>
      <w:r>
        <w:rPr>
          <w:b/>
        </w:rPr>
        <w:t xml:space="preserve">Retail.ru, 05.12.2025: </w:t>
      </w:r>
      <w:r>
        <w:t>https://www.retail.ru/news/sud-obyavil-bankrotom-set-magazinov-zhenskoy-odezhdy-incity-5-dekabrya-2025-272242/</w:t>
      </w:r>
    </w:p>
    <w:p>
      <w:r>
        <w:rPr>
          <w:b/>
        </w:rPr>
        <w:t xml:space="preserve">Торги по банкротству — лоты АО «Модный континент»: </w:t>
      </w:r>
      <w:r>
        <w:t>https://xn----etbpba5admdlad.xn--p1ai/bankrot/debtor/760889</w:t>
      </w:r>
    </w:p>
    <w:p>
      <w:r>
        <w:rPr>
          <w:b/>
        </w:rPr>
        <w:t xml:space="preserve">MERCX — пример торгов по делу А40-110182/2025: </w:t>
      </w:r>
      <w:r>
        <w:t>https://mercx.ru/lot/pravo-trebovaniya-k-tvil-konsaltants-ltd-velikobritaniya-458201994013</w:t>
      </w:r>
    </w:p>
    <w:p>
      <w:r>
        <w:t>Фактчек: 25.08.2026. Публичные цифры СПАРК приводятся через цитирующие их СМИ. Аналитические выводы проекта не выдаются за установленную судом причинность.</w:t>
      </w:r>
    </w:p>
    <w:sectPr w:rsidR="00FC693F" w:rsidRPr="0006063C" w:rsidSect="00034616">
      <w:footerReference w:type="default" r:id="rId9"/>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6"/>
      </w:rPr>
      <w:t>Бизнес под микроскопом · профессиональный материал</w:t>
    </w:r>
  </w:p>
  <w:p>
    <w:pPr>
      <w:jc w:val="right"/>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0223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0223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0223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