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9A42"/>
          <w:sz w:val="17"/>
        </w:rPr>
        <w:t>БИЗНЕС-СРЕДА · IMPLEMENTATION PLAN · 23 АВГУСТА 2026</w:t>
      </w:r>
    </w:p>
    <w:p>
      <w:pPr>
        <w:pStyle w:val="Title"/>
      </w:pPr>
      <w:r>
        <w:t>ПЛАН ВНЕДРЕНИЯ МАРКИРОВКИ: 30 ДНЕЙ</w:t>
      </w:r>
    </w:p>
    <w:p>
      <w:pPr>
        <w:pStyle w:val="Subtitle"/>
      </w:pPr>
      <w:r>
        <w:t>Readiness-план для компании, у которой дедлайн уже близко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НАЗНАЧЕНИЕ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Используйте этот план, если товар уже точно входит в обязательную маркировку и вы знаете свою роль. Если классификация ещё спорная, сначала закройте её — автоматизация неверного процесса только ускорит ошибку.</w:t>
            </w:r>
          </w:p>
        </w:tc>
      </w:tr>
    </w:tbl>
    <w:p/>
    <w:p>
      <w:pPr>
        <w:pStyle w:val="Heading1"/>
      </w:pPr>
      <w:r>
        <w:t>1. Результат 30 дней</w:t>
      </w:r>
    </w:p>
    <w:p>
      <w:pPr>
        <w:pStyle w:val="ListBullet"/>
      </w:pPr>
      <w:r>
        <w:t>Классификация и ближайшие обязанности подтверждены по товарным группам.</w:t>
      </w:r>
    </w:p>
    <w:p>
      <w:pPr>
        <w:pStyle w:val="ListBullet"/>
      </w:pPr>
      <w:r>
        <w:t>Личный кабинет, УКЭП, карточки товаров и доступы работают.</w:t>
      </w:r>
    </w:p>
    <w:p>
      <w:pPr>
        <w:pStyle w:val="ListBullet"/>
      </w:pPr>
      <w:r>
        <w:t>Оборудование и ПО закрывают конкретные операции, а не куплены «на всякий случай».</w:t>
      </w:r>
    </w:p>
    <w:p>
      <w:pPr>
        <w:pStyle w:val="ListBullet"/>
      </w:pPr>
      <w:r>
        <w:t>ЭДО/ККТ/разрешительный режим протестированы по применимости.</w:t>
      </w:r>
    </w:p>
    <w:p>
      <w:pPr>
        <w:pStyle w:val="ListBullet"/>
      </w:pPr>
      <w:r>
        <w:t>Есть инструкция для сотрудников, журнал ошибок и владелец процесса.</w:t>
      </w:r>
    </w:p>
    <w:p>
      <w:pPr>
        <w:pStyle w:val="ListBullet"/>
      </w:pPr>
      <w:r>
        <w:t>Проведён минимум один сквозной тест и повторный тест после исправления блокеров.</w:t>
      </w:r>
    </w:p>
    <w:p>
      <w:pPr>
        <w:pStyle w:val="Heading1"/>
      </w:pPr>
      <w:r>
        <w:t>2. План по неделям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tblHeader w:val="true"/>
        </w:trPr>
        <w:tc>
          <w:tcPr>
            <w:tcW w:type="dxa" w:w="198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226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Ответственные</w:t>
            </w:r>
          </w:p>
        </w:tc>
        <w:tc>
          <w:tcPr>
            <w:tcW w:type="dxa" w:w="3402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Что делаем</w:t>
            </w:r>
          </w:p>
        </w:tc>
        <w:tc>
          <w:tcPr>
            <w:tcW w:type="dxa" w:w="226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Результат</w:t>
            </w:r>
          </w:p>
        </w:tc>
      </w:tr>
      <w:tr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1–5. Диагностика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Владелец + бухгалтер/товаровед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Инвентаризация SKU; ТН ВЭД/ОКПД2; роль; дедлайн; остатки; статус регистрации; перечень блокеров.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Матрица SKU → обязанность → дата.</w:t>
            </w:r>
          </w:p>
        </w:tc>
      </w:tr>
      <w:tr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6–10. Архитектура процесса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Владелец процесса + IT/интегратор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Описать маршрут данных и товара; определить нужные устройства, ПО, ЭДО, ККТ, интеграции; выбрать резервный сценарий.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Схема процесса и утверждённый список закупок.</w:t>
            </w:r>
          </w:p>
        </w:tc>
      </w:tr>
      <w:tr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11–17. Настройка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IT/касса/ЭДО + ответственный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Подключение/обновление; настройка карточек, ролей, кассы, принтера/сканера; тестовый контур.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Оборудование и ПО доступны для теста.</w:t>
            </w:r>
          </w:p>
        </w:tc>
      </w:tr>
      <w:tr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18–23. Сквозной тест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Операции + бухгалтерия + IT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Реальная единица товара; документы; приёмка/ввод; отгрузка/продажа; сверка статусов; фиксация ошибок.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Акт теста, список дефектов и сроки устранения.</w:t>
            </w:r>
          </w:p>
        </w:tc>
      </w:tr>
      <w:tr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24–27. Исправление и обучение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Владелец + сотрудники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Исправить блокеры; повторить тест; провести обучение; подготовить памятки и эскалацию.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Повторный тест без критических ошибок.</w:t>
            </w:r>
          </w:p>
        </w:tc>
      </w:tr>
      <w:tr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28–30. Cutover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Руководитель процесса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Заморозить изменения, проверить доступы и резерв, назначить ежедневный мониторинг первых дней.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GO / RECHECK / STOP и протокол запуска.</w:t>
            </w:r>
          </w:p>
        </w:tc>
      </w:tr>
    </w:tbl>
    <w:p/>
    <w:p>
      <w:pPr>
        <w:pStyle w:val="Heading1"/>
      </w:pPr>
      <w:r>
        <w:t>3. RACI: кто за что отвечает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rPr>
          <w:tblHeader w:val="true"/>
        </w:trPr>
        <w:tc>
          <w:tcPr>
            <w:tcW w:type="dxa" w:w="294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Процесс</w:t>
            </w:r>
          </w:p>
        </w:tc>
        <w:tc>
          <w:tcPr>
            <w:tcW w:type="dxa" w:w="1701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Руководитель</w:t>
            </w:r>
          </w:p>
        </w:tc>
        <w:tc>
          <w:tcPr>
            <w:tcW w:type="dxa" w:w="198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Бухгалтер/оператор</w:t>
            </w:r>
          </w:p>
        </w:tc>
        <w:tc>
          <w:tcPr>
            <w:tcW w:type="dxa" w:w="198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IT/интегратор</w:t>
            </w:r>
          </w:p>
        </w:tc>
        <w:tc>
          <w:tcPr>
            <w:tcW w:type="dxa" w:w="198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Операции/касса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Классификация SKU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Регистрация/УКЭП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I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Карточки/GTIN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ЭДО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Касса/разрешительный режим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Нанесение кода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I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Контроль уведомлений ГИС МТ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</w:tr>
      <w:t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Инциденты/остановка продаж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</w:t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R</w:t>
            </w:r>
          </w:p>
        </w:tc>
      </w:tr>
    </w:tbl>
    <w:p/>
    <w:p>
      <w:r>
        <w:t>R — выполняет; A — несёт конечную ответственность; C — консультирует/участвует; I — информируется.</w:t>
      </w:r>
    </w:p>
    <w:p>
      <w:pPr>
        <w:pStyle w:val="Heading1"/>
      </w:pPr>
      <w:r>
        <w:t>4. Минимальный набор тест-кейсов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3402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Тест</w:t>
            </w:r>
          </w:p>
        </w:tc>
        <w:tc>
          <w:tcPr>
            <w:tcW w:type="dxa" w:w="6350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Критерий успешности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Читаемый код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Код сканируется с реальной упаковки после печати/транспортировки.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Нечитаемый код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Сотрудник понимает процедуру брака/перемаркировки.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Приёмка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Документ приходит по ЭДО и корректно отражается в учёте.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Отгрузка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Сведения уходят в правильном формате для текущего этапа группы.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Продажа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Касса передаёт код и обрабатывает разрешение/запрет.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Просрочка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Разрешительный режим блокирует запрещённую продажу по применимости.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Возврат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Возврат не создаёт зависший или неверный статус кода.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Сбой связи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понятный порядок действий и последующей синхронизации.</w:t>
            </w:r>
          </w:p>
        </w:tc>
      </w:tr>
    </w:tbl>
    <w:p/>
    <w:p>
      <w:pPr>
        <w:pStyle w:val="Heading1"/>
      </w:pPr>
      <w:r>
        <w:t>5. Журнал блокеров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</w:trPr>
        <w:tc>
          <w:tcPr>
            <w:tcW w:type="dxa" w:w="567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№</w:t>
            </w:r>
          </w:p>
        </w:tc>
        <w:tc>
          <w:tcPr>
            <w:tcW w:type="dxa" w:w="368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Блокер</w:t>
            </w:r>
          </w:p>
        </w:tc>
        <w:tc>
          <w:tcPr>
            <w:tcW w:type="dxa" w:w="1701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Владелец</w:t>
            </w:r>
          </w:p>
        </w:tc>
        <w:tc>
          <w:tcPr>
            <w:tcW w:type="dxa" w:w="1417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Срок</w:t>
            </w:r>
          </w:p>
        </w:tc>
        <w:tc>
          <w:tcPr>
            <w:tcW w:type="dxa" w:w="1417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113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Статус</w:t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6. Gate перед запуском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tblHeader w:val="true"/>
        </w:trPr>
        <w:tc>
          <w:tcPr>
            <w:tcW w:type="dxa" w:w="226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Gate</w:t>
            </w:r>
          </w:p>
        </w:tc>
        <w:tc>
          <w:tcPr>
            <w:tcW w:type="dxa" w:w="249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GO</w:t>
            </w:r>
          </w:p>
        </w:tc>
        <w:tc>
          <w:tcPr>
            <w:tcW w:type="dxa" w:w="249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RECHECK</w:t>
            </w:r>
          </w:p>
        </w:tc>
        <w:tc>
          <w:tcPr>
            <w:tcW w:type="dxa" w:w="249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STOP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Классификация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Все SKU подтверждены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спорные некритичные SKU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Ключевые SKU не классифицированы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Система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Регистрация/доступы работают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ручные обходы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Нет обязательного доступа/регистрации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Техника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Сквозной тест пройден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исправимые дефекты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Обязательная операция не выполняется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Люди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инструкция и ответственные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Нужно повторное обучение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Никто не владеет процессом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Ошибки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мониторинг и эскалация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Контроль ручной</w:t>
            </w:r>
          </w:p>
        </w:tc>
        <w:tc>
          <w:tcPr>
            <w:tcW w:type="dxa" w:w="249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Уведомления/запреты остаются без владельца</w:t>
            </w:r>
          </w:p>
        </w:tc>
      </w:tr>
    </w:tbl>
    <w:p/>
    <w:p>
      <w:pPr>
        <w:pStyle w:val="Heading1"/>
      </w:pPr>
      <w:r>
        <w:t>7. Источники</w:t>
      </w:r>
    </w:p>
    <w:p>
      <w:r>
        <w:rPr>
          <w:b/>
        </w:rPr>
        <w:t xml:space="preserve">Федеральный закон №120-ФЗ от 02.05.2026: </w:t>
      </w:r>
      <w:r>
        <w:t>https://publication.pravo.gov.ru/Document/View/0001202605020005</w:t>
      </w:r>
    </w:p>
    <w:p>
      <w:r>
        <w:rPr>
          <w:b/>
        </w:rPr>
        <w:t xml:space="preserve">Роспотребнадзор: механизм автоштрафов с 1 сентября 2026: </w:t>
      </w:r>
      <w:r>
        <w:t>https://04.rospotrebnadzor.ru/index.php/information-for-businesses/2024-12-13-02-45-38/20768-14082026.html</w:t>
      </w:r>
    </w:p>
    <w:p>
      <w:r>
        <w:rPr>
          <w:b/>
        </w:rPr>
        <w:t xml:space="preserve">Честный знак: сроки бакалеи: </w:t>
      </w:r>
      <w:r>
        <w:t>https://markirovka.ru/knowledge/tovarnye-gruppy/bakaleinaya-produkciya/sroki-i-etapy-markirovki-bakaleynoy-produktsii</w:t>
      </w:r>
    </w:p>
    <w:p>
      <w:r>
        <w:rPr>
          <w:b/>
        </w:rPr>
        <w:t xml:space="preserve">Честный знак: макароны, мёд, мюсли, картофель быстрого приготовления: </w:t>
      </w:r>
      <w:r>
        <w:t>https://markirovka.ru/community/markirovka-bakaleynoy-produktsii/obyazatelnaya-markirovka-makaron-krup-i-meda</w:t>
      </w:r>
    </w:p>
    <w:p>
      <w:r>
        <w:rPr>
          <w:b/>
        </w:rPr>
        <w:t xml:space="preserve">Честный знак: стоимость кодов бакалеи: </w:t>
      </w:r>
      <w:r>
        <w:t>https://markirovka.ru/knowledge/tovarnye-gruppy/bakaleinaya-produkciya/stoimost-kodov-markirovki-bakaleynaya-produkuiya</w:t>
      </w:r>
    </w:p>
    <w:p>
      <w:r>
        <w:rPr>
          <w:b/>
        </w:rPr>
        <w:t xml:space="preserve">Честный знак: мясо и мясные изделия — сроки: </w:t>
      </w:r>
      <w:r>
        <w:t>https://markirovka.ru/knowledge/tovarnye-gruppy/myaso-i-myasnye-izdeliya/sroki-i-etapy-markirovki-myasa-i-myasnykh-izdeliy</w:t>
      </w:r>
    </w:p>
    <w:p>
      <w:r>
        <w:rPr>
          <w:b/>
        </w:rPr>
        <w:t xml:space="preserve">Честный знак: хозтовары и средства гигиены — сроки: </w:t>
      </w:r>
      <w:r>
        <w:t>https://markirovka.ru/knowledge/tovarnye-gruppy/kosmetika-bytovaya-himiya/sroki-i-etapy-markirovki-kosmeticheskoy-produktsii-bytovoy-khimii-i-tovarov-lichnoy-gigieny</w:t>
      </w:r>
    </w:p>
    <w:p>
      <w:r>
        <w:rPr>
          <w:b/>
        </w:rPr>
        <w:t xml:space="preserve">Честный знак: медицинские изделия — сроки: </w:t>
      </w:r>
      <w:r>
        <w:t>https://markirovka.ru/knowledge/tovarnye-gruppy/medicinskie-izdeliya/sroki-i-etapy-zapuska-markirovki-meditsinskikh-izdeliy</w:t>
      </w:r>
    </w:p>
    <w:p>
      <w:r>
        <w:rPr>
          <w:b/>
        </w:rPr>
        <w:t xml:space="preserve">Честный знак: удобрения — сроки: </w:t>
      </w:r>
      <w:r>
        <w:t>https://markirovka.ru/knowledge/tovarnye-gruppy/ydobreniya/sroki-i-etapy-markirovki-udobreniy</w:t>
      </w:r>
    </w:p>
    <w:p>
      <w:r>
        <w:rPr>
          <w:b/>
        </w:rPr>
        <w:t xml:space="preserve">Честный знак: спортивное питание: </w:t>
      </w:r>
      <w:r>
        <w:t>https://markirovka.ru/community/lekarstva-bady-i-antiseptiki/markirovka-pishchevoy-produktsii-dlya-pitaniya-sportsmenov</w:t>
      </w:r>
    </w:p>
    <w:p>
      <w:r>
        <w:t>План адаптируется под конкретную товарную группу. Не переносите сроки, формат учёта или правила остатков из другой категории.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66C"/>
        <w:sz w:val="16"/>
      </w:rPr>
      <w:t xml:space="preserve">Разбираем. Анализируем. Объясняем.   · 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C99A42"/>
        <w:sz w:val="17"/>
      </w:rP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 w:val="0"/>
      <w:i/>
      <w:iCs/>
      <w:color w:val="62666C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