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БИЗНЕС-СРЕДА</w:t>
      </w:r>
    </w:p>
    <w:p>
      <w:pPr>
        <w:pStyle w:val="Title"/>
      </w:pPr>
      <w:r>
        <w:t>Практическая памятка: уведомления, ЕНС и налоговые штрафы с 1 сентября 2026 года</w:t>
      </w:r>
    </w:p>
    <w:p>
      <w:pPr>
        <w:pStyle w:val="Lead"/>
      </w:pPr>
      <w:r>
        <w:t>Рабочий документ для ИП, небольшой компании, бухгалтера или аутсорсинговой бухгалтерии. Используется независимо от статьи.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6" w:color="E0D0B7"/>
              <w:left w:val="single" w:sz="6" w:color="E0D0B7"/>
              <w:bottom w:val="single" w:sz="6" w:color="E0D0B7"/>
              <w:right w:val="single" w:sz="6" w:color="E0D0B7"/>
              <w:insideH w:val="single" w:sz="6" w:color="E0D0B7"/>
              <w:insideV w:val="single" w:sz="6" w:color="E0D0B7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Inter" w:hAnsi="Inter"/>
                <w:b/>
                <w:color w:val="0E1E35"/>
                <w:sz w:val="18"/>
              </w:rPr>
              <w:t>РАБОЧИЙ ИНСТРУМЕНТ • редактируемый DOCX • фактчек 01.09.2026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Inter" w:hAnsi="Inter"/>
                <w:b/>
                <w:color w:val="0E1E35"/>
                <w:sz w:val="18"/>
              </w:rPr>
              <w:t xml:space="preserve">КАК ИСПОЛЬЗОВАТЬ: </w:t>
            </w:r>
            <w:r>
              <w:rPr>
                <w:rFonts w:ascii="Inter" w:hAnsi="Inter"/>
                <w:color w:val="0E1E35"/>
                <w:sz w:val="18"/>
              </w:rPr>
              <w:t>Пройдите три раздела отдельно. Если блок не относится к вашему бизнесу, отметьте «не применимо». Не меняйте процесс только ради нововведения: цель - снизить риск и лишние операции.</w:t>
            </w:r>
          </w:p>
        </w:tc>
      </w:tr>
    </w:tbl>
    <w:p/>
    <w:p>
      <w:pPr>
        <w:pStyle w:val="Heading1"/>
      </w:pPr>
      <w:r>
        <w:t>A. Решение по предварительному уведомлению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Контрольный вопрос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Да/Нет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Комментарий / действие</w:t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Есть сотрудники и регулярные НДФЛ/страховые взносы?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Начисления обычно стабильны по месяцам?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 конца года не планируется существенное изменение штата/зарплат?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Есть ответственный за ежемесячную сверку факта с заявленными суммами?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В учётной системе можно хранить реестр будущих сумм по периодам?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Понятно, когда нужно подать дополнительное уведомление при превышении факта?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Inter" w:hAnsi="Inter"/>
                <w:b/>
                <w:color w:val="0E1E35"/>
                <w:sz w:val="18"/>
              </w:rPr>
              <w:t xml:space="preserve">GATE: </w:t>
            </w:r>
            <w:r>
              <w:rPr>
                <w:rFonts w:ascii="Inter" w:hAnsi="Inter"/>
                <w:color w:val="0E1E35"/>
                <w:sz w:val="18"/>
              </w:rPr>
              <w:t>Если начисления сильно меняются или нет дисциплины ежемесячной сверки, обычный порядок может быть безопаснее.</w:t>
            </w:r>
          </w:p>
        </w:tc>
      </w:tr>
    </w:tbl>
    <w:p/>
    <w:p>
      <w:pPr>
        <w:pStyle w:val="Heading1"/>
      </w:pPr>
      <w:r>
        <w:t>B. Реестр предварительного уведомления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tblHeader w:val="true"/>
        </w:trPr>
        <w:tc>
          <w:tcPr>
            <w:tcW w:type="dxa" w:w="1694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Период</w:t>
            </w:r>
          </w:p>
        </w:tc>
        <w:tc>
          <w:tcPr>
            <w:tcW w:type="dxa" w:w="1694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НДФЛ заявлено</w:t>
            </w:r>
          </w:p>
        </w:tc>
        <w:tc>
          <w:tcPr>
            <w:tcW w:type="dxa" w:w="1694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Взносы заявлено</w:t>
            </w:r>
          </w:p>
        </w:tc>
        <w:tc>
          <w:tcPr>
            <w:tcW w:type="dxa" w:w="1694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Факт НДФЛ</w:t>
            </w:r>
          </w:p>
        </w:tc>
        <w:tc>
          <w:tcPr>
            <w:tcW w:type="dxa" w:w="1694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Факт взносов</w:t>
            </w:r>
          </w:p>
        </w:tc>
        <w:tc>
          <w:tcPr>
            <w:tcW w:type="dxa" w:w="1694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Нужно новое уведомление?</w:t>
            </w:r>
          </w:p>
        </w:tc>
      </w:tr>
      <w:tr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Сентябрь</w:t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Октябрь</w:t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Ноябрь</w:t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Декабрь</w:t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694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</w:tbl>
    <w:p/>
    <w:p>
      <w:pPr>
        <w:pStyle w:val="Heading1"/>
      </w:pPr>
      <w:r>
        <w:t>C. Зачёт ЕНС в пользу другого лица</w:t>
      </w:r>
    </w:p>
    <w:p>
      <w:pPr>
        <w:pStyle w:val="ListNumber"/>
        <w:spacing w:after="60"/>
      </w:pPr>
      <w:r>
        <w:rPr>
          <w:rFonts w:ascii="Inter" w:hAnsi="Inter"/>
          <w:color w:val="0E1E35"/>
          <w:sz w:val="20"/>
        </w:rPr>
        <w:t>Проверить положительное сальдо собственного ЕНС.</w:t>
      </w:r>
    </w:p>
    <w:p>
      <w:pPr>
        <w:pStyle w:val="ListNumber"/>
        <w:spacing w:after="60"/>
      </w:pPr>
      <w:r>
        <w:rPr>
          <w:rFonts w:ascii="Inter" w:hAnsi="Inter"/>
          <w:color w:val="0E1E35"/>
          <w:sz w:val="20"/>
        </w:rPr>
        <w:t>Получить подтверждение, что у другого лица уже есть актуальная обязанность по уплате.</w:t>
      </w:r>
    </w:p>
    <w:p>
      <w:pPr>
        <w:pStyle w:val="ListNumber"/>
        <w:spacing w:after="60"/>
      </w:pPr>
      <w:r>
        <w:rPr>
          <w:rFonts w:ascii="Inter" w:hAnsi="Inter"/>
          <w:color w:val="0E1E35"/>
          <w:sz w:val="20"/>
        </w:rPr>
        <w:t>Сверить точную сумму обязательства: превышение не будет зачтено сверх обязанности.</w:t>
      </w:r>
    </w:p>
    <w:p>
      <w:pPr>
        <w:pStyle w:val="ListNumber"/>
        <w:spacing w:after="60"/>
      </w:pPr>
      <w:r>
        <w:rPr>
          <w:rFonts w:ascii="Inter" w:hAnsi="Inter"/>
          <w:color w:val="0E1E35"/>
          <w:sz w:val="20"/>
        </w:rPr>
        <w:t>Проверить, что заявление подписывается требуемой УКЭП при электронной подаче.</w:t>
      </w:r>
    </w:p>
    <w:p>
      <w:pPr>
        <w:pStyle w:val="ListNumber"/>
        <w:spacing w:after="60"/>
      </w:pPr>
      <w:r>
        <w:rPr>
          <w:rFonts w:ascii="Inter" w:hAnsi="Inter"/>
          <w:color w:val="0E1E35"/>
          <w:sz w:val="20"/>
        </w:rPr>
        <w:t>Сохранить заявление, подтверждение отправки, результат зачёта и состояние ЕНС после операции.</w:t>
      </w:r>
    </w:p>
    <w:p>
      <w:pPr>
        <w:pStyle w:val="ListNumber"/>
        <w:spacing w:after="60"/>
      </w:pPr>
      <w:r>
        <w:rPr>
          <w:rFonts w:ascii="Inter" w:hAnsi="Inter"/>
          <w:color w:val="0E1E35"/>
          <w:sz w:val="20"/>
        </w:rPr>
        <w:t>Если речь не о зачёте, а о прямом перечислении на ЕНС другого лица, не применять этот чек-лист автоматически - это другой механизм.</w:t>
      </w:r>
    </w:p>
    <w:p>
      <w:pPr>
        <w:pStyle w:val="Heading1"/>
      </w:pPr>
      <w:r>
        <w:t>D. Папка доказательств по смягчающим обстоятельствам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Что собрать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Есть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Где хранится</w:t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Хронология события и налогового нарушения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Первичные документы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Переписка / уведомления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Документы о личных/семейных обстоятельствах при применимости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Финансовые документы при ссылке на тяжёлое положение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Доказательства добросовестных действий после выявления нарушения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Письменное объяснение причинной связи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Inter" w:hAnsi="Inter"/>
                <w:b/>
                <w:color w:val="0E1E35"/>
                <w:sz w:val="18"/>
              </w:rPr>
              <w:t xml:space="preserve">STOP: </w:t>
            </w:r>
            <w:r>
              <w:rPr>
                <w:rFonts w:ascii="Inter" w:hAnsi="Inter"/>
                <w:color w:val="0E1E35"/>
                <w:sz w:val="18"/>
              </w:rPr>
              <w:t>Не обещайте себе или клиенту «штраф снизят в 10 раз». Закон устанавливает предел снижения, а не гарантированный результат.</w:t>
            </w:r>
          </w:p>
        </w:tc>
      </w:tr>
    </w:tbl>
    <w:p/>
    <w:p>
      <w:pPr>
        <w:pStyle w:val="Heading1"/>
      </w:pPr>
      <w:r>
        <w:t>E. Мини-регламент на 1 страницу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Когда</w:t>
            </w:r>
          </w:p>
        </w:tc>
        <w:tc>
          <w:tcPr>
            <w:tcW w:type="dxa" w:w="254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Ответственный</w:t>
            </w:r>
          </w:p>
        </w:tc>
        <w:tc>
          <w:tcPr>
            <w:tcW w:type="dxa" w:w="254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Что проверить</w:t>
            </w:r>
          </w:p>
        </w:tc>
        <w:tc>
          <w:tcPr>
            <w:tcW w:type="dxa" w:w="254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Результат</w:t>
            </w:r>
          </w:p>
        </w:tc>
      </w:tr>
      <w:tr>
        <w:tc>
          <w:tcPr>
            <w:tcW w:type="dxa" w:w="254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 подачи предварительного уведомления</w:t>
            </w:r>
          </w:p>
        </w:tc>
        <w:tc>
          <w:tcPr>
            <w:tcW w:type="dxa" w:w="254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254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Стабильность начислений; периоды; суммы</w:t>
            </w:r>
          </w:p>
        </w:tc>
        <w:tc>
          <w:tcPr>
            <w:tcW w:type="dxa" w:w="254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Решение: использовать / не использовать</w:t>
            </w:r>
          </w:p>
        </w:tc>
      </w:tr>
      <w:tr>
        <w:tc>
          <w:tcPr>
            <w:tcW w:type="dxa" w:w="254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Ежемесячно</w:t>
            </w:r>
          </w:p>
        </w:tc>
        <w:tc>
          <w:tcPr>
            <w:tcW w:type="dxa" w:w="254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254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Факт против заявленных сумм</w:t>
            </w:r>
          </w:p>
        </w:tc>
        <w:tc>
          <w:tcPr>
            <w:tcW w:type="dxa" w:w="254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При превышении - новое уведомление</w:t>
            </w:r>
          </w:p>
        </w:tc>
      </w:tr>
      <w:tr>
        <w:tc>
          <w:tcPr>
            <w:tcW w:type="dxa" w:w="254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Перед зачётом ЕНС за другое лицо</w:t>
            </w:r>
          </w:p>
        </w:tc>
        <w:tc>
          <w:tcPr>
            <w:tcW w:type="dxa" w:w="254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254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Обязанность получателя; сумма; УКЭП</w:t>
            </w:r>
          </w:p>
        </w:tc>
        <w:tc>
          <w:tcPr>
            <w:tcW w:type="dxa" w:w="254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Подтверждённый зачёт</w:t>
            </w:r>
          </w:p>
        </w:tc>
      </w:tr>
      <w:tr>
        <w:tc>
          <w:tcPr>
            <w:tcW w:type="dxa" w:w="254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При налоговом споре</w:t>
            </w:r>
          </w:p>
        </w:tc>
        <w:tc>
          <w:tcPr>
            <w:tcW w:type="dxa" w:w="254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254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Смягчающие обстоятельства и доказательства</w:t>
            </w:r>
          </w:p>
        </w:tc>
        <w:tc>
          <w:tcPr>
            <w:tcW w:type="dxa" w:w="254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Собранная позиция и пакет документов</w:t>
            </w:r>
          </w:p>
        </w:tc>
      </w:tr>
    </w:tbl>
    <w:p/>
    <w:p>
      <w:pPr>
        <w:pStyle w:val="Heading2"/>
      </w:pPr>
      <w:r>
        <w:t>Источники и фактчек</w:t>
      </w:r>
    </w:p>
    <w:p>
      <w:r>
        <w:rPr>
          <w:b/>
        </w:rPr>
        <w:t xml:space="preserve">Дата фактчека: 1 сентября 2026 года. </w:t>
      </w:r>
      <w:r>
        <w:t>Ниже приведены первичные и официальные/профессиональные источники, на которых основаны правовые утверждения материала.</w:t>
      </w:r>
    </w:p>
    <w:p>
      <w:pPr>
        <w:pStyle w:val="ListBullet"/>
      </w:pPr>
      <w:r>
        <w:t xml:space="preserve">ФНС: новый порядок уведомлений — </w:t>
      </w:r>
      <w:hyperlink r:id="rId11">
        <w:r>
          <w:rPr>
            <w:color w:val="0E1E35"/>
            <w:u w:val="single"/>
            <w:rFonts w:ascii="Inter" w:hAnsi="Inter"/>
          </w:rPr>
          <w:t>https://www.nalog.gov.ru/rn77/news/activities_fts/16645183/</w:t>
        </w:r>
      </w:hyperlink>
    </w:p>
    <w:p>
      <w:pPr>
        <w:pStyle w:val="ListBullet"/>
      </w:pPr>
      <w:r>
        <w:t xml:space="preserve">ФНС: досрочные уведомления — </w:t>
      </w:r>
      <w:hyperlink r:id="rId12">
        <w:r>
          <w:rPr>
            <w:color w:val="0E1E35"/>
            <w:u w:val="single"/>
            <w:rFonts w:ascii="Inter" w:hAnsi="Inter"/>
          </w:rPr>
          <w:t>https://www.nalog.gov.ru/rn60/news/tax_doc_news/16644014/</w:t>
        </w:r>
      </w:hyperlink>
    </w:p>
    <w:p>
      <w:pPr>
        <w:pStyle w:val="ListBullet"/>
      </w:pPr>
      <w:r>
        <w:t xml:space="preserve">ФНС: ЕНС за другое лицо — </w:t>
      </w:r>
      <w:hyperlink r:id="rId13">
        <w:r>
          <w:rPr>
            <w:color w:val="0E1E35"/>
            <w:u w:val="single"/>
            <w:rFonts w:ascii="Inter" w:hAnsi="Inter"/>
          </w:rPr>
          <w:t>https://www.nalog.gov.ru/rn37/news/activities_fts/16645032/</w:t>
        </w:r>
      </w:hyperlink>
    </w:p>
    <w:p>
      <w:pPr>
        <w:pStyle w:val="ListBullet"/>
      </w:pPr>
      <w:r>
        <w:t xml:space="preserve">ФНС: снижение штрафов — </w:t>
      </w:r>
      <w:hyperlink r:id="rId14">
        <w:r>
          <w:rPr>
            <w:color w:val="0E1E35"/>
            <w:u w:val="single"/>
            <w:rFonts w:ascii="Inter" w:hAnsi="Inter"/>
          </w:rPr>
          <w:t>https://www.nalog.gov.ru/rn56/news/tax_doc_news/16627348/</w:t>
        </w:r>
      </w:hyperlink>
    </w:p>
    <w:p>
      <w:pPr>
        <w:pStyle w:val="ListBullet"/>
      </w:pPr>
      <w:r>
        <w:t xml:space="preserve">Федеральный закон № 425-ФЗ — </w:t>
      </w:r>
      <w:hyperlink r:id="rId15">
        <w:r>
          <w:rPr>
            <w:color w:val="0E1E35"/>
            <w:u w:val="single"/>
            <w:rFonts w:ascii="Inter" w:hAnsi="Inter"/>
          </w:rPr>
          <w:t>https://publication.pravo.gov.ru/Document/View/0001202511280017</w:t>
        </w:r>
      </w:hyperlink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8E8"/>
            <w:tcBorders>
              <w:top w:val="single" w:sz="8" w:color="8A6D1D"/>
              <w:left w:val="single" w:sz="8" w:color="8A6D1D"/>
              <w:bottom w:val="single" w:sz="8" w:color="8A6D1D"/>
              <w:right w:val="single" w:sz="8" w:color="8A6D1D"/>
              <w:insideH w:val="single" w:sz="8" w:color="8A6D1D"/>
              <w:insideV w:val="single" w:sz="8" w:color="8A6D1D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Inter" w:hAnsi="Inter"/>
                <w:b/>
                <w:color w:val="8A6D1D"/>
                <w:sz w:val="18"/>
              </w:rPr>
              <w:t xml:space="preserve">ГРАНИЦЫ МАТЕРИАЛА: </w:t>
            </w:r>
            <w:r>
              <w:rPr>
                <w:rFonts w:ascii="Inter" w:hAnsi="Inter"/>
                <w:color w:val="0E1E35"/>
                <w:sz w:val="18"/>
              </w:rPr>
              <w:t>Материал носит информационный и аналитический характер и не заменяет индивидуальную налоговую или юридическую консультацию. Перед действием по конкретной ситуации сверяйте свой налоговый контур, документы и применимые нормы.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864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/>
        <w:color w:val="697181"/>
        <w:sz w:val="14"/>
      </w:rPr>
      <w:t>Бизнес под микроскопом  •  рабочий материал  •  01.09.2026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Inter" w:hAnsi="Inter"/>
        <w:b/>
        <w:color w:val="0E1E35"/>
        <w:sz w:val="16"/>
      </w:rPr>
      <w:t>БИЗНЕС ПОД МИКРОСКОПОМ</w:t>
    </w:r>
    <w:r>
      <w:rPr>
        <w:rFonts w:ascii="Inter" w:hAnsi="Inter"/>
        <w:color w:val="B3976A"/>
        <w:sz w:val="16"/>
      </w:rPr>
      <w:t xml:space="preserve">  /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Inter" w:hAnsi="Inter"/>
      <w:color w:val="0E1E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Inter" w:hAnsi="Inter"/>
      <w:b/>
      <w:bCs/>
      <w:color w:val="0E1E3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Inter" w:hAnsi="Inter"/>
      <w:b/>
      <w:bCs/>
      <w:color w:val="0E1E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Inter" w:hAnsi="Inter"/>
      <w:b/>
      <w:bCs/>
      <w:color w:val="0E1E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00"/>
      <w:contextualSpacing/>
    </w:pPr>
    <w:rPr>
      <w:rFonts w:asciiTheme="majorHAnsi" w:eastAsiaTheme="majorEastAsia" w:hAnsiTheme="majorHAnsi" w:cstheme="majorBidi" w:ascii="Inter" w:hAnsi="Inter"/>
      <w:b/>
      <w:color w:val="0E1E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Inter" w:hAnsi="Inter"/>
      <w:b/>
      <w:color w:val="B3976A"/>
      <w:sz w:val="16"/>
    </w:rPr>
  </w:style>
  <w:style w:type="paragraph" w:customStyle="1" w:styleId="Lead">
    <w:name w:val="Lead"/>
    <w:pPr>
      <w:spacing w:after="200" w:line="276" w:lineRule="auto"/>
    </w:pPr>
    <w:rPr>
      <w:rFonts w:ascii="Inter" w:hAnsi="Inter"/>
      <w:color w:val="697181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alog.gov.ru/rn77/news/activities_fts/16645183/" TargetMode="External"/><Relationship Id="rId12" Type="http://schemas.openxmlformats.org/officeDocument/2006/relationships/hyperlink" Target="https://www.nalog.gov.ru/rn60/news/tax_doc_news/16644014/" TargetMode="External"/><Relationship Id="rId13" Type="http://schemas.openxmlformats.org/officeDocument/2006/relationships/hyperlink" Target="https://www.nalog.gov.ru/rn37/news/activities_fts/16645032/" TargetMode="External"/><Relationship Id="rId14" Type="http://schemas.openxmlformats.org/officeDocument/2006/relationships/hyperlink" Target="https://www.nalog.gov.ru/rn56/news/tax_doc_news/16627348/" TargetMode="External"/><Relationship Id="rId15" Type="http://schemas.openxmlformats.org/officeDocument/2006/relationships/hyperlink" Target="https://publication.pravo.gov.ru/Document/View/0001202511280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