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Liberation Sans" w:hAnsi="Liberation Sans"/>
          <w:b/>
          <w:color w:val="B3976A"/>
          <w:sz w:val="18"/>
        </w:rPr>
        <w:t>БИЗНЕС-СРЕДА • ПРАКТИЧЕСКОЕ РУКОВОДСТВО</w:t>
      </w:r>
    </w:p>
    <w:p>
      <w:pPr>
        <w:pStyle w:val="Title"/>
        <w:spacing w:before="80" w:after="140"/>
      </w:pPr>
      <w:r>
        <w:t>Новые правила розничной торговли с 1 сентября 2026 года</w:t>
      </w:r>
    </w:p>
    <w:p>
      <w:pPr>
        <w:spacing w:after="200"/>
      </w:pPr>
      <w:r>
        <w:rPr>
          <w:color w:val="697181"/>
          <w:sz w:val="24"/>
        </w:rPr>
        <w:t>Что реально меняется, что просто переиздано и что проверить магазину, интернет-продавцу и продавцу на маркетплейсе до начала применения новых правил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B3976A"/>
          </w:tcPr>
          <w:p>
            <w:r/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3EFE8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5" w:color="DDD8CF"/>
              <w:bottom w:val="single" w:sz="5" w:color="DDD8CF"/>
              <w:start w:val="single" w:sz="5" w:color="DDD8CF"/>
              <w:end w:val="single" w:sz="5" w:color="DDD8CF"/>
            </w:tcBorders>
          </w:tcPr>
          <w:p>
            <w:r>
              <w:rPr>
                <w:b/>
                <w:color w:val="697181"/>
                <w:sz w:val="16"/>
              </w:rPr>
              <w:t>СТАТУС</w:t>
            </w:r>
          </w:p>
          <w:p>
            <w:r>
              <w:rPr>
                <w:b/>
                <w:color w:val="0E1E35"/>
                <w:sz w:val="21"/>
              </w:rPr>
              <w:t>Постановление Правительства РФ № 657 принято и официально опубликовано</w:t>
            </w:r>
          </w:p>
        </w:tc>
        <w:tc>
          <w:tcPr>
            <w:tcW w:type="dxa" w:w="5112"/>
            <w:shd w:fill="F3EFE8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5" w:color="DDD8CF"/>
              <w:bottom w:val="single" w:sz="5" w:color="DDD8CF"/>
              <w:start w:val="single" w:sz="5" w:color="DDD8CF"/>
              <w:end w:val="single" w:sz="5" w:color="DDD8CF"/>
            </w:tcBorders>
          </w:tcPr>
          <w:p>
            <w:r>
              <w:rPr>
                <w:b/>
                <w:color w:val="697181"/>
                <w:sz w:val="16"/>
              </w:rPr>
              <w:t>ДАТА НАЧАЛА</w:t>
            </w:r>
          </w:p>
          <w:p>
            <w:r>
              <w:rPr>
                <w:b/>
                <w:color w:val="0E1E35"/>
                <w:sz w:val="21"/>
              </w:rPr>
              <w:t>1 сентября 2026 года</w:t>
            </w:r>
          </w:p>
        </w:tc>
      </w:tr>
      <w:tr>
        <w:tc>
          <w:tcPr>
            <w:tcW w:type="dxa" w:w="5112"/>
            <w:shd w:fill="F3EFE8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5" w:color="DDD8CF"/>
              <w:bottom w:val="single" w:sz="5" w:color="DDD8CF"/>
              <w:start w:val="single" w:sz="5" w:color="DDD8CF"/>
              <w:end w:val="single" w:sz="5" w:color="DDD8CF"/>
            </w:tcBorders>
          </w:tcPr>
          <w:p>
            <w:r>
              <w:rPr>
                <w:b/>
                <w:color w:val="697181"/>
                <w:sz w:val="16"/>
              </w:rPr>
              <w:t>СРОК ДЕЙСТВИЯ</w:t>
            </w:r>
          </w:p>
          <w:p>
            <w:r>
              <w:rPr>
                <w:b/>
                <w:color w:val="0E1E35"/>
                <w:sz w:val="21"/>
              </w:rPr>
              <w:t>до 1 сентября 2032 года</w:t>
            </w:r>
          </w:p>
        </w:tc>
        <w:tc>
          <w:tcPr>
            <w:tcW w:type="dxa" w:w="5112"/>
            <w:shd w:fill="F3EFE8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5" w:color="DDD8CF"/>
              <w:bottom w:val="single" w:sz="5" w:color="DDD8CF"/>
              <w:start w:val="single" w:sz="5" w:color="DDD8CF"/>
              <w:end w:val="single" w:sz="5" w:color="DDD8CF"/>
            </w:tcBorders>
          </w:tcPr>
          <w:p>
            <w:r>
              <w:rPr>
                <w:b/>
                <w:color w:val="697181"/>
                <w:sz w:val="16"/>
              </w:rPr>
              <w:t>КОГО КАСАЕТСЯ</w:t>
            </w:r>
          </w:p>
          <w:p>
            <w:r>
              <w:rPr>
                <w:b/>
                <w:color w:val="0E1E35"/>
                <w:sz w:val="21"/>
              </w:rPr>
              <w:t>розница, интернет-магазины, продавцы через агрегаторы и маркетплейсы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"/>
        <w:gridCol w:w="9504"/>
      </w:tblGrid>
      <w:tr>
        <w:tc>
          <w:tcPr>
            <w:tcW w:type="dxa" w:w="5112"/>
            <w:shd w:fill="B3976A"/>
          </w:tcPr>
          <w:p/>
        </w:tc>
        <w:tc>
          <w:tcPr>
            <w:tcW w:type="dxa" w:w="5112"/>
            <w:shd w:fill="FFF9EA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0E1E35"/>
                <w:sz w:val="21"/>
              </w:rPr>
              <w:t>Главный вывод</w:t>
            </w:r>
          </w:p>
          <w:p>
            <w:pPr>
              <w:spacing w:after="0"/>
            </w:pPr>
            <w:r>
              <w:t>Это не «полная революция правил торговли». Значительная часть базовых требований переиздана взамен постановления № 2463, срок которого заканчивается. Но есть точечные изменения и новые акценты, которые требуют конкретной проверки процессов — особенно в дистанционной торговле и на маркетплейсах.</w:t>
            </w:r>
          </w:p>
        </w:tc>
      </w:tr>
    </w:tbl>
    <w:p/>
    <w:p>
      <w:pPr>
        <w:pStyle w:val="Heading1"/>
      </w:pPr>
      <w:r>
        <w:t>1. Что именно вступает в силу</w:t>
      </w:r>
    </w:p>
    <w:p>
      <w:r>
        <w:t>Постановление Правительства РФ от 30.05.2026 № 657 утверждает новые Правила продажи товаров по договору розничной купли-продажи и два перечня: товаров длительного пользования, для которых не предоставляется аналогичный товар на период ремонта/замены, и непродовольственных товаров надлежащего качества, не подлежащих обмену. Правила действуют с 1 сентября 2026 года до 1 сентября 2032 года.</w:t>
      </w:r>
    </w:p>
    <w:p>
      <w:r>
        <w:t>Важно: постановление № 657 заменяет соответствующие положения постановления № 2463 от 31.12.2020. Поэтому предпринимателю нужно не только искать «что нового», но и проверить, что его локальные документы, сайт, оферта и инструкции больше не ссылаются на утратившие силу правила.</w:t>
      </w:r>
    </w:p>
    <w:p>
      <w:pPr>
        <w:pStyle w:val="Heading1"/>
      </w:pPr>
      <w:r>
        <w:t>2. Что является новым или требует отдельного внимания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2304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Блок</w:t>
            </w:r>
          </w:p>
        </w:tc>
        <w:tc>
          <w:tcPr>
            <w:tcW w:type="dxa" w:w="3888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Что важно</w:t>
            </w:r>
          </w:p>
        </w:tc>
        <w:tc>
          <w:tcPr>
            <w:tcW w:type="dxa" w:w="3456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Действие бизнеса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Маркетплейсы и агрегаторы</w:t>
            </w:r>
          </w:p>
        </w:tc>
        <w:tc>
          <w:tcPr>
            <w:tcW w:type="dxa" w:w="388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В правилах прямо закреплена обязанность доводить до потребителя информацию о продавце на сайте/странице/в приложении агрегатора.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Проверить карточку продавца, реквизиты и каналы связи на каждой площадке.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Претензии при дистанционной продаже</w:t>
            </w:r>
          </w:p>
        </w:tc>
        <w:tc>
          <w:tcPr>
            <w:tcW w:type="dxa" w:w="388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Продавец должен довести форму и способы направления претензии; агрегатор — довести их либо обеспечить передачу претензии продавцу и ответа потребителю.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Проверить страницу возвратов/претензий, e-mail, форму и фактическую маршрутизацию обращений.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Возврат денег по претензии</w:t>
            </w:r>
          </w:p>
        </w:tc>
        <w:tc>
          <w:tcPr>
            <w:tcW w:type="dxa" w:w="388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Правила перечисляют данные, которые покупатель указывает при требовании возврата: номер заказа/идентификатор, контактные данные, реквизиты счета или электронного средства платежа в предусмотренных случаях.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Сделать форму, которая собирает нужные данные без избыточных персональных данных.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Иностранный продавец через агрегатор</w:t>
            </w:r>
          </w:p>
        </w:tc>
        <w:tc>
          <w:tcPr>
            <w:tcW w:type="dxa" w:w="388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Для дистанционной продажи иностранным продавцом претензия направляется через сайт/приложение владельца агрегатора.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Если бизнес — агрегатор, проверить маршрут таких обращений.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Возраст, льготы и программы лояльности</w:t>
            </w:r>
          </w:p>
        </w:tc>
        <w:tc>
          <w:tcPr>
            <w:tcW w:type="dxa" w:w="388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В правила включены положения о проверке сведений и возможности использования многофункционального сервиса обмена информацией; для программ лояльности также предусмотрена такая возможность.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Проверить кассовый сценарий, инструкции персоналу и техническую готовность, если это применимо.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Технически сложные товары</w:t>
            </w:r>
          </w:p>
        </w:tc>
        <w:tc>
          <w:tcPr>
            <w:tcW w:type="dxa" w:w="388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При дистанционном возврате товара надлежащего качества прямо упомянуто сохранение упаковки, комплектности и технических/эксплуатационных документов.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Уточнить инструкции покупателю и процедуру приемки возврата.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Драгоценные металлы и камни</w:t>
            </w:r>
          </w:p>
        </w:tc>
        <w:tc>
          <w:tcPr>
            <w:tcW w:type="dxa" w:w="388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Для дистанционного возврата ювелирного изделия надлежащего качества требуется сохранение уникального идентификационного номера и упаковки.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Актуально только профильным продавцам; сверить карточки товара и возвраты.</w:t>
            </w:r>
          </w:p>
        </w:tc>
      </w:tr>
    </w:tbl>
    <w:p/>
    <w:p>
      <w:pPr>
        <w:pStyle w:val="Heading1"/>
      </w:pPr>
      <w:r>
        <w:t>3. Что не надо ошибочно называть новым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"/>
        <w:gridCol w:w="9504"/>
      </w:tblGrid>
      <w:tr>
        <w:tc>
          <w:tcPr>
            <w:tcW w:type="dxa" w:w="5112"/>
            <w:shd w:fill="0E1E35"/>
          </w:tcPr>
          <w:p/>
        </w:tc>
        <w:tc>
          <w:tcPr>
            <w:tcW w:type="dxa" w:w="5112"/>
            <w:shd w:fill="F2F6FB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0E1E35"/>
                <w:sz w:val="21"/>
              </w:rPr>
              <w:t>Не создавать лишнюю панику</w:t>
            </w:r>
          </w:p>
          <w:p>
            <w:pPr>
              <w:spacing w:after="0"/>
            </w:pPr>
            <w:r>
              <w:t>Ценники, исправные средства измерений, общая обязанность давать покупателю достоверную информацию и применение ККТ не появились «впервые» 1 сентября. Они сохраняются в новых правилах и поэтому должны быть перепроверены, но это не повод выдавать их за принципиально новую обязанность.</w:t>
            </w:r>
          </w:p>
        </w:tc>
      </w:tr>
    </w:tbl>
    <w:p/>
    <w:p>
      <w:pPr>
        <w:pStyle w:val="ListBullet"/>
      </w:pPr>
      <w:r>
        <w:t>Ценники: наименование товара и цена за единицу товара или единицу измерения.</w:t>
      </w:r>
    </w:p>
    <w:p>
      <w:pPr>
        <w:pStyle w:val="ListBullet"/>
      </w:pPr>
      <w:r>
        <w:t>Средства измерений: исправное состояние и соответствие требованиям законодательства об обеспечении единства измерений.</w:t>
      </w:r>
    </w:p>
    <w:p>
      <w:pPr>
        <w:pStyle w:val="ListBullet"/>
      </w:pPr>
      <w:r>
        <w:t>Ответ на претензию: письменная или электронная форма по указанному покупателем адресу и в сроки, предусмотренные законом.</w:t>
      </w:r>
    </w:p>
    <w:p>
      <w:pPr>
        <w:pStyle w:val="ListBullet"/>
      </w:pPr>
      <w:r>
        <w:t>Кассовая техника: применяется в соответствии с федеральным законом о ККТ.</w:t>
      </w:r>
    </w:p>
    <w:p>
      <w:pPr>
        <w:pStyle w:val="Heading1"/>
      </w:pPr>
      <w:r>
        <w:t>4. Сценарий А — обычный розничный магазин</w:t>
      </w:r>
    </w:p>
    <w:p>
      <w:pPr>
        <w:pStyle w:val="ListBullet"/>
      </w:pPr>
      <w:r>
        <w:t>Проверить ценники: наименование, цена за единицу товара/измерения, отсутствие конфликтующих цен в торговом зале и кассе.</w:t>
      </w:r>
    </w:p>
    <w:p>
      <w:pPr>
        <w:pStyle w:val="ListBullet"/>
      </w:pPr>
      <w:r>
        <w:t>Если товар продается по весу, длине или другому измеримому показателю — проверить исправность средств измерения и доступность контрольного измерения для покупателя там, где это требуется.</w:t>
      </w:r>
    </w:p>
    <w:p>
      <w:pPr>
        <w:pStyle w:val="ListBullet"/>
      </w:pPr>
      <w:r>
        <w:t>Проверить локальную инструкцию по претензиям: кто принимает, как регистрирует, кто отвечает и в какой срок.</w:t>
      </w:r>
    </w:p>
    <w:p>
      <w:pPr>
        <w:pStyle w:val="ListBullet"/>
      </w:pPr>
      <w:r>
        <w:t>Для возрастных ограничений — проверить процедуру подтверждения возраста и обучение сотрудников.</w:t>
      </w:r>
    </w:p>
    <w:p>
      <w:pPr>
        <w:pStyle w:val="ListBullet"/>
      </w:pPr>
      <w:r>
        <w:t>Если действует программа лояльности — проверить, как собираются необходимые сведения и предусмотрена ли применимая цифровая возможность.</w:t>
      </w:r>
    </w:p>
    <w:p>
      <w:pPr>
        <w:pStyle w:val="ListBullet"/>
      </w:pPr>
      <w:r>
        <w:t>Сверить локальные документы и стенды: не оставлены ли ссылки на постановление № 2463 там, где нужна актуализация.</w:t>
      </w:r>
    </w:p>
    <w:p>
      <w:pPr>
        <w:pStyle w:val="Heading1"/>
      </w:pPr>
      <w:r>
        <w:t>5. Сценарий Б — собственный интернет-магазин или приложение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"/>
        <w:gridCol w:w="9504"/>
      </w:tblGrid>
      <w:tr>
        <w:tc>
          <w:tcPr>
            <w:tcW w:type="dxa" w:w="5112"/>
            <w:shd w:fill="B42318"/>
          </w:tcPr>
          <w:p/>
        </w:tc>
        <w:tc>
          <w:tcPr>
            <w:tcW w:type="dxa" w:w="5112"/>
            <w:shd w:fill="FFF1F0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0E1E35"/>
                <w:sz w:val="21"/>
              </w:rPr>
              <w:t>Это приоритетная зона проверки</w:t>
            </w:r>
          </w:p>
          <w:p>
            <w:pPr>
              <w:spacing w:after="0"/>
            </w:pPr>
            <w:r>
              <w:t>Для интернет-продавца критичны не только тексты на сайте, но и фактический путь покупателя: оферта → заказ → подтверждение → получение → претензия → возврат денег. Если хотя бы один шаг не работает, формально правильная страница не спасает процесс.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2304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4608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Требование/риск</w:t>
            </w:r>
          </w:p>
        </w:tc>
        <w:tc>
          <w:tcPr>
            <w:tcW w:type="dxa" w:w="2880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Где смотреть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Сведения о продавце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Юрлицо: наименование, ОГРН, адрес/место нахождения, e-mail и/или телефон. ИП: ФИО, ОГРНИП, e-mail и/или телефон.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Шапка/подвал/страница реквизитов и приложение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Оферта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Покупатель должен иметь возможность ознакомиться с офертой до заключения договора.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Проверить доступность с мобильного и на этапе оформления заказа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Подтверждение заказа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Должно содержать номер заказа или иной идентификатор, позволяющий получить сведения о договоре и его условиях.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Письмо/SMS/личный кабинет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Претензии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Нужны форма и способы направления; должны быть указаны предусмотренные правилами контакты.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Отдельная страница + реальный рабочий канал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Возврат денег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Форма должна позволять связать обращение с заказом и передать реквизиты, необходимые для возврата.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Не запрашивать лишние данные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Сведения о подтверждении соответствия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С 1 сентября 2026 года для дистанционных продаж действуют отдельные требования закона № 546-ФЗ: в описании товара — ссылка на запись о сертификате/декларации, если товар подлежит обязательному подтверждению соответствия.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Проверить карточки соответствующих товаров и интеграцию с данными о сертификатах</w:t>
            </w:r>
          </w:p>
        </w:tc>
      </w:tr>
    </w:tbl>
    <w:p/>
    <w:p>
      <w:pPr>
        <w:pStyle w:val="Heading1"/>
      </w:pPr>
      <w:r>
        <w:t>6. Сценарий В — продавец на маркетплейсе</w:t>
      </w:r>
    </w:p>
    <w:p>
      <w:pPr>
        <w:pStyle w:val="ListBullet"/>
      </w:pPr>
      <w:r>
        <w:t>Проверить, что в профиле продавца на площадке отображаются актуальные сведения о продавце, предусмотренные правилами.</w:t>
      </w:r>
    </w:p>
    <w:p>
      <w:pPr>
        <w:pStyle w:val="ListBullet"/>
      </w:pPr>
      <w:r>
        <w:t>Понять, где покупатель видит форму и способы направления претензии и кто технически передает обращение.</w:t>
      </w:r>
    </w:p>
    <w:p>
      <w:pPr>
        <w:pStyle w:val="ListBullet"/>
      </w:pPr>
      <w:r>
        <w:t>Проверить SLA внутри бизнеса: кто получает претензию с площадки, кто отвечает, кто инициирует возврат денег.</w:t>
      </w:r>
    </w:p>
    <w:p>
      <w:pPr>
        <w:pStyle w:val="ListBullet"/>
      </w:pPr>
      <w:r>
        <w:t>Проверить карточки товаров, для которых требуется обязательное подтверждение соответствия: с 1 сентября действует отдельное требование по ссылке на запись о сертификате/декларации.</w:t>
      </w:r>
    </w:p>
    <w:p>
      <w:pPr>
        <w:pStyle w:val="ListBullet"/>
      </w:pPr>
      <w:r>
        <w:t>Не считать, что маркетплейс «берет всю ответственность на себя»: правила отдельно описывают обязанности продавца и владельца агрегатора.</w:t>
      </w:r>
    </w:p>
    <w:p>
      <w:pPr>
        <w:pStyle w:val="Heading1"/>
      </w:pPr>
      <w:r>
        <w:t>7. Смежное изменение: сертификаты и декларации в дистанционной продаже</w:t>
      </w:r>
    </w:p>
    <w:p>
      <w:r>
        <w:t>Федеральный закон № 546-ФЗ с 1 сентября 2026 года меняет Закон о защите прав потребителей. Для товаров, подлежащих обязательному подтверждению соответствия, информация доводится путем размещения в описании товара ссылки на страницу реестра с записью о сертификате соответствия и/или декларации о соответствии. Для агрегаторов закон предусматривает техническую возможность размещения такой информации продавцом. Это отдельное основание, которое удобно проверять вместе с постановлением № 657, но не следует смешивать их в одно и то же требование.</w:t>
      </w:r>
    </w:p>
    <w:p>
      <w:pPr>
        <w:pStyle w:val="Heading1"/>
      </w:pPr>
      <w:r>
        <w:t>8. Что делать с претензиями: рабочий процесс</w:t>
      </w:r>
    </w:p>
    <w:p>
      <w:pPr>
        <w:pStyle w:val="ListNumber"/>
      </w:pPr>
      <w:r>
        <w:t>Назначить единый канал приема и ответственного сотрудника/роль.</w:t>
      </w:r>
    </w:p>
    <w:p>
      <w:pPr>
        <w:pStyle w:val="ListNumber"/>
      </w:pPr>
      <w:r>
        <w:t>Фиксировать дату и время получения, канал, номер заказа, суть требования и контакт покупателя.</w:t>
      </w:r>
    </w:p>
    <w:p>
      <w:pPr>
        <w:pStyle w:val="ListNumber"/>
      </w:pPr>
      <w:r>
        <w:t>Определять правовую природу требования: информация, возврат, недостаток товара, обмен, гарантия и т. п.</w:t>
      </w:r>
    </w:p>
    <w:p>
      <w:pPr>
        <w:pStyle w:val="ListNumber"/>
      </w:pPr>
      <w:r>
        <w:t>Не требовать лишних документов, если закон допускает подтверждение покупки другими доказательствами.</w:t>
      </w:r>
    </w:p>
    <w:p>
      <w:pPr>
        <w:pStyle w:val="ListNumber"/>
      </w:pPr>
      <w:r>
        <w:t>Если требуется возврат денег — запросить только данные, необходимые для идентификации заказа/покупателя и проведения возврата.</w:t>
      </w:r>
    </w:p>
    <w:p>
      <w:pPr>
        <w:pStyle w:val="ListNumber"/>
      </w:pPr>
      <w:r>
        <w:t>Отправить ответ в установленный законом срок и сохранить доказательство отправки.</w:t>
      </w:r>
    </w:p>
    <w:p>
      <w:pPr>
        <w:pStyle w:val="ListNumber"/>
      </w:pPr>
      <w:r>
        <w:t>Для маркетплейса — отдельно хранить доказательство получения/передачи претензии через площадку.</w:t>
      </w:r>
    </w:p>
    <w:p>
      <w:pPr>
        <w:pStyle w:val="Heading1"/>
      </w:pPr>
      <w:r>
        <w:t>9. План подготовки за 48 часов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584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Срок</w:t>
            </w:r>
          </w:p>
        </w:tc>
        <w:tc>
          <w:tcPr>
            <w:tcW w:type="dxa" w:w="5040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Действие</w:t>
            </w:r>
          </w:p>
        </w:tc>
        <w:tc>
          <w:tcPr>
            <w:tcW w:type="dxa" w:w="3168"/>
            <w:shd w:fill="0E1E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Результат</w:t>
            </w:r>
          </w:p>
        </w:tc>
      </w:tr>
      <w:t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0–4 часа</w:t>
            </w:r>
          </w:p>
        </w:tc>
        <w:tc>
          <w:tcPr>
            <w:tcW w:type="dxa" w:w="504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Назначить владельца задачи. Составить список каналов продаж и площадок.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Есть ответственное лицо и перечень точек контроля.</w:t>
            </w:r>
          </w:p>
        </w:tc>
      </w:tr>
      <w:t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4–12 часов</w:t>
            </w:r>
          </w:p>
        </w:tc>
        <w:tc>
          <w:tcPr>
            <w:tcW w:type="dxa" w:w="504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Проверить реквизиты продавца, оферту, страницу претензий, подтверждение заказа, карточки товаров.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Список несоответствий с владельцами.</w:t>
            </w:r>
          </w:p>
        </w:tc>
      </w:tr>
      <w:t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12–24 часа</w:t>
            </w:r>
          </w:p>
        </w:tc>
        <w:tc>
          <w:tcPr>
            <w:tcW w:type="dxa" w:w="504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Обновить тексты и формы, инструкции кассиров/службы поддержки, маршруты претензий.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Изменения внесены в рабочие системы.</w:t>
            </w:r>
          </w:p>
        </w:tc>
      </w:tr>
      <w:t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24–36 часов</w:t>
            </w:r>
          </w:p>
        </w:tc>
        <w:tc>
          <w:tcPr>
            <w:tcW w:type="dxa" w:w="504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Проверить маркетплейсы, сертификаты/декларации, возрастные сценарии и программы лояльности по применимости.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BFAF8"/>
          </w:tcPr>
          <w:p>
            <w:r>
              <w:rPr>
                <w:sz w:val="17"/>
              </w:rPr>
              <w:t>Критичные пробелы закрыты или есть временный безопасный процесс.</w:t>
            </w:r>
          </w:p>
        </w:tc>
      </w:tr>
      <w:t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36–48 часов</w:t>
            </w:r>
          </w:p>
        </w:tc>
        <w:tc>
          <w:tcPr>
            <w:tcW w:type="dxa" w:w="504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Провести контрольную покупку/возврат/претензию от начала до конца. Зафиксировать результаты.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sz w:val="17"/>
              </w:rPr>
              <w:t>Есть доказательство, что процесс работает, а не только описан.</w:t>
            </w:r>
          </w:p>
        </w:tc>
      </w:tr>
    </w:tbl>
    <w:p/>
    <w:p>
      <w:pPr>
        <w:pStyle w:val="Heading1"/>
      </w:pPr>
      <w:r>
        <w:t>10. Ответственность и риск</w:t>
      </w:r>
    </w:p>
    <w:p>
      <w:r>
        <w:t>Постановление № 657 не устанавливает один специальный новый штраф. Ответственность зависит от конкретного нарушения. В практике могут применяться, в частности, статья 14.8 КоАП РФ (например, за нарушение права потребителя на необходимую и достоверную информацию или необоснованный отказ/уклонение от рассмотрения требований) и статья 14.15 КоАП РФ (нарушение правил продажи отдельных видов товаров). Кроме административной ответственности остаются гражданско-правовые последствия по Закону о защите прав потребителей.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"/>
        <w:gridCol w:w="9504"/>
      </w:tblGrid>
      <w:tr>
        <w:tc>
          <w:tcPr>
            <w:tcW w:type="dxa" w:w="5112"/>
            <w:shd w:fill="B42318"/>
          </w:tcPr>
          <w:p/>
        </w:tc>
        <w:tc>
          <w:tcPr>
            <w:tcW w:type="dxa" w:w="5112"/>
            <w:shd w:fill="FFF1F0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0E1E35"/>
                <w:sz w:val="21"/>
              </w:rPr>
              <w:t>Не использовать таблицу штрафов как «прайс риска»</w:t>
            </w:r>
          </w:p>
          <w:p>
            <w:pPr>
              <w:spacing w:after="0"/>
            </w:pPr>
            <w:r>
              <w:t>Размер и состав ответственности зависят от конкретных обстоятельств, статуса продавца и характера нарушения. Перед публикацией конкретной суммы в статье нужно проверять действующую редакцию КоАП на дату материала.</w:t>
            </w:r>
          </w:p>
        </w:tc>
      </w:tr>
    </w:tbl>
    <w:p/>
    <w:p>
      <w:pPr>
        <w:pStyle w:val="Heading1"/>
      </w:pPr>
      <w:r>
        <w:t>11. Когда можно считать бизнес готовым</w:t>
      </w:r>
    </w:p>
    <w:p>
      <w:pPr>
        <w:pStyle w:val="ListBullet"/>
      </w:pPr>
      <w:r>
        <w:t>На всех каналах продаж отображаются актуальные сведения о продавце.</w:t>
      </w:r>
    </w:p>
    <w:p>
      <w:pPr>
        <w:pStyle w:val="ListBullet"/>
      </w:pPr>
      <w:r>
        <w:t>Покупатель получает идентификатор заказа и может восстановить условия договора.</w:t>
      </w:r>
    </w:p>
    <w:p>
      <w:pPr>
        <w:pStyle w:val="ListBullet"/>
      </w:pPr>
      <w:r>
        <w:t>Претензия реально доходит до ответственного человека, а не в «мертвый» ящик.</w:t>
      </w:r>
    </w:p>
    <w:p>
      <w:pPr>
        <w:pStyle w:val="ListBullet"/>
      </w:pPr>
      <w:r>
        <w:t>Процесс возврата денег протестирован на контрольном заказе.</w:t>
      </w:r>
    </w:p>
    <w:p>
      <w:pPr>
        <w:pStyle w:val="ListBullet"/>
      </w:pPr>
      <w:r>
        <w:t>Карточки товаров с обязательным подтверждением соответствия проверены по требованиям закона № 546-ФЗ.</w:t>
      </w:r>
    </w:p>
    <w:p>
      <w:pPr>
        <w:pStyle w:val="ListBullet"/>
      </w:pPr>
      <w:r>
        <w:t>Персонал понимает возрастные ограничения и применимые способы подтверждения сведений.</w:t>
      </w:r>
    </w:p>
    <w:p>
      <w:pPr>
        <w:pStyle w:val="ListBullet"/>
      </w:pPr>
      <w:r>
        <w:t>Документы и инструкции не опираются на утратившее силу постановление № 2463 без актуализации.</w:t>
      </w:r>
    </w:p>
    <w:p>
      <w:pPr>
        <w:pStyle w:val="Heading1"/>
      </w:pPr>
      <w:r>
        <w:t>Источники и границы применения</w:t>
      </w:r>
    </w:p>
    <w:p>
      <w:r>
        <w:t>В документе разделены: обязательные нормы, практические рекомендации проекта и смежные изменения, вступающие в силу в ту же дату. Если у бизнеса есть отраслевые особенности, лицензируемая деятельность или спорная ситуация с потребителем, нужна отдельная правовая проверка конкретного кейса.</w:t>
      </w:r>
    </w:p>
    <w:p>
      <w:pPr>
        <w:pStyle w:val="ListBullet"/>
      </w:pPr>
      <w:r>
        <w:t xml:space="preserve">Постановление Правительства РФ от 30.05.2026 № 657 — </w:t>
      </w:r>
      <w:hyperlink r:id="rId11">
        <w:r>
          <w:rPr>
            <w:color w:val="0563C1"/>
            <w:u w:val="single"/>
          </w:rPr>
          <w:t>https://publication.pravo.gov.ru/document/0001202606010077</w:t>
        </w:r>
      </w:hyperlink>
    </w:p>
    <w:p>
      <w:pPr>
        <w:pStyle w:val="ListBullet"/>
      </w:pPr>
      <w:r>
        <w:t xml:space="preserve">Роспотребнадзор: о постановлении № 657 — </w:t>
      </w:r>
      <w:hyperlink r:id="rId12">
        <w:r>
          <w:rPr>
            <w:color w:val="0563C1"/>
            <w:u w:val="single"/>
          </w:rPr>
          <w:t>https://zpp.rospotrebnadzor.ru/news/regional/574741</w:t>
        </w:r>
      </w:hyperlink>
    </w:p>
    <w:p>
      <w:pPr>
        <w:pStyle w:val="ListBullet"/>
      </w:pPr>
      <w:r>
        <w:t xml:space="preserve">Роспотребнадзор: изменения законодательства о защите прав потребителей — </w:t>
      </w:r>
      <w:hyperlink r:id="rId13">
        <w:r>
          <w:rPr>
            <w:color w:val="0563C1"/>
            <w:u w:val="single"/>
          </w:rPr>
          <w:t>https://zpp.rospotrebnadzor.ru/info/stat/576066</w:t>
        </w:r>
      </w:hyperlink>
    </w:p>
    <w:p>
      <w:pPr>
        <w:pStyle w:val="ListBullet"/>
      </w:pPr>
      <w:r>
        <w:t xml:space="preserve">Роспотребнадзор: подтверждение возраста и программы лояльности — </w:t>
      </w:r>
      <w:hyperlink r:id="rId14">
        <w:r>
          <w:rPr>
            <w:color w:val="0563C1"/>
            <w:u w:val="single"/>
          </w:rPr>
          <w:t>https://zpp.rospotrebnadzor.ru/news/federal/574190</w:t>
        </w:r>
      </w:hyperlink>
    </w:p>
    <w:p>
      <w:pPr>
        <w:pStyle w:val="ListBullet"/>
      </w:pPr>
      <w:r>
        <w:t xml:space="preserve">Федеральный закон от 28.12.2024 № 546-ФЗ — </w:t>
      </w:r>
      <w:hyperlink r:id="rId15">
        <w:r>
          <w:rPr>
            <w:color w:val="0563C1"/>
            <w:u w:val="single"/>
          </w:rPr>
          <w:t>https://publication.pravo.gov.ru/document/0001202412280050</w:t>
        </w:r>
      </w:hyperlink>
    </w:p>
    <w:p>
      <w:pPr>
        <w:pStyle w:val="ListBullet"/>
      </w:pPr>
      <w:r>
        <w:t xml:space="preserve">КонсультантПлюс: изменения по подтверждению соответствия при дистанционной продаже — </w:t>
      </w:r>
      <w:hyperlink r:id="rId16">
        <w:r>
          <w:rPr>
            <w:color w:val="0563C1"/>
            <w:u w:val="single"/>
          </w:rPr>
          <w:t>https://www.consultant.ru/law/hotdocs/87868.html</w:t>
        </w:r>
      </w:hyperlink>
    </w:p>
    <w:p>
      <w:pPr>
        <w:pStyle w:val="ListBullet"/>
      </w:pPr>
      <w:r>
        <w:t xml:space="preserve">КоАП РФ ст. 14.8 — нарушение иных прав потребителей — </w:t>
      </w:r>
      <w:hyperlink r:id="rId17">
        <w:r>
          <w:rPr>
            <w:color w:val="0563C1"/>
            <w:u w:val="single"/>
          </w:rPr>
          <w:t>https://www.consultant.ru/document/cons_doc_LAW_34661/59f86440655bf2aec393fd031c5a4bc13cfcdc17/</w:t>
        </w:r>
      </w:hyperlink>
    </w:p>
    <w:p>
      <w:pPr>
        <w:pStyle w:val="ListBullet"/>
      </w:pPr>
      <w:r>
        <w:t xml:space="preserve">КоАП РФ ст. 14.15 — нарушение правил продажи отдельных видов товаров — </w:t>
      </w:r>
      <w:hyperlink r:id="rId18">
        <w:r>
          <w:rPr>
            <w:color w:val="0563C1"/>
            <w:u w:val="single"/>
          </w:rPr>
          <w:t>https://www.consultant.ru/document/cons_doc_LAW_34661/d830d8ad6230373234db5735f1215a86658aed68/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181"/>
        <w:sz w:val="16"/>
      </w:rPr>
      <w:t>Актуальность проверена: 31 августа 2026  •  bizmicroscope.ru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muted"/>
      <w:jc w:val="right"/>
    </w:pPr>
    <w: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Liberation Sans" w:hAnsi="Liberation Sans"/>
      <w:color w:val="0E1E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E1E3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E1E35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0E1E3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Liberation Serif" w:hAnsi="Liberation Serif"/>
      <w:b/>
      <w:color w:val="0E1E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muted">
    <w:name w:val="Small muted"/>
    <w:rPr>
      <w:rFonts w:ascii="Liberation Sans" w:hAnsi="Liberation Sans"/>
      <w:color w:val="6971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publication.pravo.gov.ru/document/0001202606010077" TargetMode="External"/><Relationship Id="rId12" Type="http://schemas.openxmlformats.org/officeDocument/2006/relationships/hyperlink" Target="https://zpp.rospotrebnadzor.ru/news/regional/574741" TargetMode="External"/><Relationship Id="rId13" Type="http://schemas.openxmlformats.org/officeDocument/2006/relationships/hyperlink" Target="https://zpp.rospotrebnadzor.ru/info/stat/576066" TargetMode="External"/><Relationship Id="rId14" Type="http://schemas.openxmlformats.org/officeDocument/2006/relationships/hyperlink" Target="https://zpp.rospotrebnadzor.ru/news/federal/574190" TargetMode="External"/><Relationship Id="rId15" Type="http://schemas.openxmlformats.org/officeDocument/2006/relationships/hyperlink" Target="https://publication.pravo.gov.ru/document/0001202412280050" TargetMode="External"/><Relationship Id="rId16" Type="http://schemas.openxmlformats.org/officeDocument/2006/relationships/hyperlink" Target="https://www.consultant.ru/law/hotdocs/87868.html" TargetMode="External"/><Relationship Id="rId17" Type="http://schemas.openxmlformats.org/officeDocument/2006/relationships/hyperlink" Target="https://www.consultant.ru/document/cons_doc_LAW_34661/59f86440655bf2aec393fd031c5a4bc13cfcdc17/" TargetMode="External"/><Relationship Id="rId18" Type="http://schemas.openxmlformats.org/officeDocument/2006/relationships/hyperlink" Target="https://www.consultant.ru/document/cons_doc_LAW_34661/d830d8ad6230373234db5735f1215a86658aed6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