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БИЗНЕС ПОД МИКРОСКОПОМ  •  БИЗНЕС-СРЕДА</w:t>
      </w:r>
    </w:p>
    <w:p>
      <w:pPr>
        <w:pStyle w:val="Title"/>
        <w:jc w:val="left"/>
      </w:pPr>
      <w:r>
        <w:t>Новые санитарные правила</w:t>
        <w:br/>
        <w:t>с 1 сентября 2026 года</w:t>
      </w:r>
    </w:p>
    <w:p>
      <w:r>
        <w:rPr>
          <w:rFonts w:ascii="Liberation Sans" w:hAnsi="Liberation Sans"/>
          <w:color w:val="697181"/>
          <w:sz w:val="28"/>
        </w:rPr>
        <w:t>Практическое руководство для бизнеса: применимость, риски, чек-листы и план внедрения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10166"/>
            <w:shd w:fill="FFF8ED"/>
            <w:tcBorders>
              <w:top w:val="single" w:sz="6" w:color="DDD8CF"/>
              <w:left w:val="single" w:sz="18" w:color="C86A21"/>
              <w:bottom w:val="single" w:sz="6" w:color="DDD8CF"/>
              <w:right w:val="single" w:sz="6" w:color="DDD8CF"/>
            </w:tcBorders>
          </w:tcPr>
          <w:p>
            <w:r>
              <w:rPr>
                <w:rFonts w:ascii="Liberation Sans" w:hAnsi="Liberation Sans"/>
                <w:b/>
                <w:color w:val="C86A21"/>
                <w:sz w:val="19"/>
              </w:rPr>
              <w:t>СТАТУС</w:t>
            </w:r>
          </w:p>
          <w:p>
            <w:pPr/>
            <w:r>
              <w:t>Шесть новых редакций санитарных правил утверждены 2 июня 2026 года, зарегистрированы Минюстом и вступают в силу 1 сентября 2026 года. Фактчек документа: 29 августа 2026 года.</w:t>
            </w:r>
          </w:p>
        </w:tc>
      </w:tr>
    </w:tbl>
    <w:p>
      <w:pPr>
        <w:spacing w:after="20"/>
      </w:pPr>
    </w:p>
    <w:p>
      <w:pPr>
        <w:pStyle w:val="Small"/>
      </w:pPr>
      <w:r>
        <w:t>Важно: документ не заменяет индивидуальную юридическую или санитарно-эпидемиологическую экспертизу объекта. Он помогает быстро определить применимые правила и организовать проверку готовности.</w:t>
      </w:r>
    </w:p>
    <w:p>
      <w:r>
        <w:br w:type="page"/>
      </w:r>
    </w:p>
    <w:p>
      <w:pPr>
        <w:pStyle w:val="Heading1"/>
      </w:pPr>
      <w:r>
        <w:t>Как пользоваться комплектом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Сначала откройте раздел «Кому какие правила применять» и отметьте только те документы, которые относятся к вашему виду деятельности.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Затем пройдите отраслевой чек-лист. Не переписывайте локальные документы «на всякий случай»: меняйте только ссылки, процедуры и требования, которые реально относятся к вашему объекту.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Перенесите задачи в Excel-файл «Матрица готовности»: назначьте ответственного, срок и подтверждение выполнения.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Если выявлена необходимость строительных, вентиляционных, лабораторных или технологических изменений, зафиксируйте это отдельной задачей и при необходимости привлеките профильного специалиста.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Храните доказательства готовности: актуальные инструкции, журналы, акты, договоры, протоколы измерений, фотографии, результаты лабораторных исследований — по применимости.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10166"/>
            <w:shd w:fill="F3EFE8"/>
            <w:tcBorders>
              <w:top w:val="single" w:sz="6" w:color="DDD8CF"/>
              <w:left w:val="single" w:sz="18" w:color="B08C54"/>
              <w:bottom w:val="single" w:sz="6" w:color="DDD8CF"/>
              <w:right w:val="single" w:sz="6" w:color="DDD8CF"/>
            </w:tcBorders>
          </w:tcPr>
          <w:p>
            <w:r>
              <w:rPr>
                <w:rFonts w:ascii="Liberation Sans" w:hAnsi="Liberation Sans"/>
                <w:b/>
                <w:color w:val="B08C54"/>
                <w:sz w:val="19"/>
              </w:rPr>
              <w:t>ГЛАВНЫЙ ВЫВОД</w:t>
            </w:r>
          </w:p>
          <w:p>
            <w:pPr/>
            <w:r>
              <w:t>1 сентября меняется нормативная база, но это не означает, что каждому бизнесу нужно срочно перестраивать помещение. Часть правил — актуализированные редакции прежних требований. Задача предпринимателя — определить применимость, сверить фактическое состояние и документы, а не создавать «бумажную реформу» без причины.</w:t>
            </w:r>
          </w:p>
        </w:tc>
      </w:tr>
    </w:tbl>
    <w:p>
      <w:pPr>
        <w:spacing w:after="20"/>
      </w:pPr>
    </w:p>
    <w:p>
      <w:pPr>
        <w:pStyle w:val="Heading1"/>
      </w:pPr>
      <w:r>
        <w:t>1. Что подтверждено официально</w:t>
      </w:r>
    </w:p>
    <w:p>
      <w:r>
        <w:rPr>
          <w:b w:val="0"/>
        </w:rPr>
        <w:t xml:space="preserve">Роспотребнадзор подтвердил, что с 1 сентября 2026 года вступают в силу шесть новых санитарных правил, заменяющих акты 2020 года. </w:t>
      </w:r>
      <w:hyperlink r:id="rId9">
        <w:r>
          <w:rPr>
            <w:color w:val="B08C54"/>
            <w:u w:val="single"/>
          </w:rPr>
          <w:t>Федеральное сообщение Роспотребнадзора</w:t>
        </w:r>
      </w:hyperlink>
      <w:r>
        <w:t>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cantSplit/>
          <w:tblHeader w:val="true"/>
        </w:trPr>
        <w:tc>
          <w:tcPr>
            <w:tcW w:type="dxa" w:w="2033"/>
            <w:vAlign w:val="center"/>
            <w:shd w:fill="0E1E35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№</w:t>
            </w:r>
          </w:p>
        </w:tc>
        <w:tc>
          <w:tcPr>
            <w:tcW w:type="dxa" w:w="2033"/>
            <w:vAlign w:val="center"/>
            <w:shd w:fill="0E1E35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Новый документ</w:t>
            </w:r>
          </w:p>
        </w:tc>
        <w:tc>
          <w:tcPr>
            <w:tcW w:type="dxa" w:w="2033"/>
            <w:vAlign w:val="center"/>
            <w:shd w:fill="0E1E35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Что заменяет</w:t>
            </w:r>
          </w:p>
        </w:tc>
        <w:tc>
          <w:tcPr>
            <w:tcW w:type="dxa" w:w="2033"/>
            <w:vAlign w:val="center"/>
            <w:shd w:fill="0E1E35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Основная сфера</w:t>
            </w:r>
          </w:p>
        </w:tc>
        <w:tc>
          <w:tcPr>
            <w:tcW w:type="dxa" w:w="2033"/>
            <w:vAlign w:val="center"/>
            <w:shd w:fill="0E1E35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Официальное опубликование</w:t>
            </w:r>
          </w:p>
        </w:tc>
      </w:tr>
      <w:tr>
        <w:trPr>
          <w:cantSplit/>
        </w:trPr>
        <w:tc>
          <w:tcPr>
            <w:tcW w:type="dxa" w:w="2033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15</w:t>
            </w:r>
          </w:p>
        </w:tc>
        <w:tc>
          <w:tcPr>
            <w:tcW w:type="dxa" w:w="2033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СП 2.2.4285-26</w:t>
            </w:r>
          </w:p>
        </w:tc>
        <w:tc>
          <w:tcPr>
            <w:tcW w:type="dxa" w:w="2033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СП 2.2.3670-20</w:t>
            </w:r>
          </w:p>
        </w:tc>
        <w:tc>
          <w:tcPr>
            <w:tcW w:type="dxa" w:w="2033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Условия труда</w:t>
            </w:r>
          </w:p>
        </w:tc>
        <w:tc>
          <w:tcPr>
            <w:tcW w:type="dxa" w:w="2033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0001202606020080</w:t>
            </w:r>
          </w:p>
        </w:tc>
      </w:tr>
      <w:tr>
        <w:trPr>
          <w:cantSplit/>
        </w:trPr>
        <w:tc>
          <w:tcPr>
            <w:tcW w:type="dxa" w:w="2033"/>
            <w:vAlign w:val="center"/>
            <w:shd w:fill="F8F5F0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16</w:t>
            </w:r>
          </w:p>
        </w:tc>
        <w:tc>
          <w:tcPr>
            <w:tcW w:type="dxa" w:w="2033"/>
            <w:vAlign w:val="center"/>
            <w:shd w:fill="F8F5F0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СП 2.5.4286-26</w:t>
            </w:r>
          </w:p>
        </w:tc>
        <w:tc>
          <w:tcPr>
            <w:tcW w:type="dxa" w:w="2033"/>
            <w:vAlign w:val="center"/>
            <w:shd w:fill="F8F5F0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СП 2.5.3650-20</w:t>
            </w:r>
          </w:p>
        </w:tc>
        <w:tc>
          <w:tcPr>
            <w:tcW w:type="dxa" w:w="2033"/>
            <w:vAlign w:val="center"/>
            <w:shd w:fill="F8F5F0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Отдельные виды транспорта и инфраструктура</w:t>
            </w:r>
          </w:p>
        </w:tc>
        <w:tc>
          <w:tcPr>
            <w:tcW w:type="dxa" w:w="2033"/>
            <w:vAlign w:val="center"/>
            <w:shd w:fill="F8F5F0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0001202606020081</w:t>
            </w:r>
          </w:p>
        </w:tc>
      </w:tr>
      <w:tr>
        <w:trPr>
          <w:cantSplit/>
        </w:trPr>
        <w:tc>
          <w:tcPr>
            <w:tcW w:type="dxa" w:w="2033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17</w:t>
            </w:r>
          </w:p>
        </w:tc>
        <w:tc>
          <w:tcPr>
            <w:tcW w:type="dxa" w:w="2033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СП 2.3.6.4281-26</w:t>
            </w:r>
          </w:p>
        </w:tc>
        <w:tc>
          <w:tcPr>
            <w:tcW w:type="dxa" w:w="2033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СП 2.3.6.3668-20</w:t>
            </w:r>
          </w:p>
        </w:tc>
        <w:tc>
          <w:tcPr>
            <w:tcW w:type="dxa" w:w="2033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Продуктовая торговля, рынки, ярмарки</w:t>
            </w:r>
          </w:p>
        </w:tc>
        <w:tc>
          <w:tcPr>
            <w:tcW w:type="dxa" w:w="2033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0001202606020079</w:t>
            </w:r>
          </w:p>
        </w:tc>
      </w:tr>
      <w:tr>
        <w:trPr>
          <w:cantSplit/>
        </w:trPr>
        <w:tc>
          <w:tcPr>
            <w:tcW w:type="dxa" w:w="2033"/>
            <w:vAlign w:val="center"/>
            <w:shd w:fill="F8F5F0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18</w:t>
            </w:r>
          </w:p>
        </w:tc>
        <w:tc>
          <w:tcPr>
            <w:tcW w:type="dxa" w:w="2033"/>
            <w:vAlign w:val="center"/>
            <w:shd w:fill="F8F5F0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СанПиН 2.3/2.4.4282-26</w:t>
            </w:r>
          </w:p>
        </w:tc>
        <w:tc>
          <w:tcPr>
            <w:tcW w:type="dxa" w:w="2033"/>
            <w:vAlign w:val="center"/>
            <w:shd w:fill="F8F5F0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СанПиН 2.3/2.4.3590-20</w:t>
            </w:r>
          </w:p>
        </w:tc>
        <w:tc>
          <w:tcPr>
            <w:tcW w:type="dxa" w:w="2033"/>
            <w:vAlign w:val="center"/>
            <w:shd w:fill="F8F5F0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Общественное питание</w:t>
            </w:r>
          </w:p>
        </w:tc>
        <w:tc>
          <w:tcPr>
            <w:tcW w:type="dxa" w:w="2033"/>
            <w:vAlign w:val="center"/>
            <w:shd w:fill="F8F5F0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0001202606020084</w:t>
            </w:r>
          </w:p>
        </w:tc>
      </w:tr>
      <w:tr>
        <w:trPr>
          <w:cantSplit/>
        </w:trPr>
        <w:tc>
          <w:tcPr>
            <w:tcW w:type="dxa" w:w="2033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19</w:t>
            </w:r>
          </w:p>
        </w:tc>
        <w:tc>
          <w:tcPr>
            <w:tcW w:type="dxa" w:w="2033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СП 2.4.2.4283-26</w:t>
            </w:r>
          </w:p>
        </w:tc>
        <w:tc>
          <w:tcPr>
            <w:tcW w:type="dxa" w:w="2033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СП 2.4.3648-20</w:t>
            </w:r>
          </w:p>
        </w:tc>
        <w:tc>
          <w:tcPr>
            <w:tcW w:type="dxa" w:w="2033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Дети, обучение, отдых, мероприятия</w:t>
            </w:r>
          </w:p>
        </w:tc>
        <w:tc>
          <w:tcPr>
            <w:tcW w:type="dxa" w:w="2033"/>
            <w:vAlign w:val="center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0001202606020083</w:t>
            </w:r>
          </w:p>
        </w:tc>
      </w:tr>
      <w:tr>
        <w:trPr>
          <w:cantSplit/>
        </w:trPr>
        <w:tc>
          <w:tcPr>
            <w:tcW w:type="dxa" w:w="2033"/>
            <w:vAlign w:val="center"/>
            <w:shd w:fill="F8F5F0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20</w:t>
            </w:r>
          </w:p>
        </w:tc>
        <w:tc>
          <w:tcPr>
            <w:tcW w:type="dxa" w:w="2033"/>
            <w:vAlign w:val="center"/>
            <w:shd w:fill="F8F5F0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СП 2.1.4284-26</w:t>
            </w:r>
          </w:p>
        </w:tc>
        <w:tc>
          <w:tcPr>
            <w:tcW w:type="dxa" w:w="2033"/>
            <w:vAlign w:val="center"/>
            <w:shd w:fill="F8F5F0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СП 2.1.3678-20</w:t>
            </w:r>
          </w:p>
        </w:tc>
        <w:tc>
          <w:tcPr>
            <w:tcW w:type="dxa" w:w="2033"/>
            <w:vAlign w:val="center"/>
            <w:shd w:fill="F8F5F0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Услуги, помещения, здания, оборудование</w:t>
            </w:r>
          </w:p>
        </w:tc>
        <w:tc>
          <w:tcPr>
            <w:tcW w:type="dxa" w:w="2033"/>
            <w:vAlign w:val="center"/>
            <w:shd w:fill="F8F5F0"/>
            <w:tcBorders>
              <w:top w:val="single" w:sz="4" w:color="DDD8CF"/>
              <w:left w:val="single" w:sz="4" w:color="DDD8CF"/>
              <w:bottom w:val="single" w:sz="4" w:color="DDD8CF"/>
              <w:right w:val="single" w:sz="4" w:color="DDD8CF"/>
            </w:tcBorders>
          </w:tcPr>
          <w:p>
            <w:pPr>
              <w:spacing w:after="20" w:before="20"/>
            </w:pPr>
            <w:r>
              <w:rPr>
                <w:rFonts w:ascii="Liberation Sans" w:hAnsi="Liberation Sans"/>
                <w:sz w:val="16"/>
              </w:rPr>
              <w:t>0001202606020088</w:t>
            </w:r>
          </w:p>
        </w:tc>
      </w:tr>
    </w:tbl>
    <w:p>
      <w:pPr>
        <w:pStyle w:val="Small"/>
      </w:pPr>
      <w:r>
        <w:t>Все шесть актов введены на период до 1 сентября 2032 года по текстам постановлений/правовым обзорам. Для условий труда в одном региональном сообщении встречается формулировка «5 лет»; в этом руководстве используется срок из самого постановления № 15: до 01.09.2032.</w:t>
      </w:r>
    </w:p>
    <w:p>
      <w:pPr>
        <w:pStyle w:val="Heading1"/>
      </w:pPr>
      <w:r>
        <w:t>2. Кому какие правила применять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cantSplit/>
          <w:tblHeader w:val="true"/>
        </w:trPr>
        <w:tc>
          <w:tcPr>
            <w:tcW w:type="dxa" w:w="3389"/>
            <w:shd w:fill="0E1E35"/>
          </w:tcPr>
          <w:p>
            <w:r>
              <w:rPr>
                <w:rFonts w:ascii="Liberation Sans" w:hAnsi="Liberation Sans"/>
                <w:b/>
                <w:color w:val="FFFFFF"/>
                <w:sz w:val="16"/>
              </w:rPr>
              <w:t>Тип бизнеса</w:t>
            </w:r>
          </w:p>
        </w:tc>
        <w:tc>
          <w:tcPr>
            <w:tcW w:type="dxa" w:w="3389"/>
            <w:shd w:fill="0E1E35"/>
          </w:tcPr>
          <w:p>
            <w:r>
              <w:rPr>
                <w:rFonts w:ascii="Liberation Sans" w:hAnsi="Liberation Sans"/>
                <w:b/>
                <w:color w:val="FFFFFF"/>
                <w:sz w:val="16"/>
              </w:rPr>
              <w:t>Что смотреть в первую очередь</w:t>
            </w:r>
          </w:p>
        </w:tc>
        <w:tc>
          <w:tcPr>
            <w:tcW w:type="dxa" w:w="3389"/>
            <w:shd w:fill="0E1E35"/>
          </w:tcPr>
          <w:p>
            <w:r>
              <w:rPr>
                <w:rFonts w:ascii="Liberation Sans" w:hAnsi="Liberation Sans"/>
                <w:b/>
                <w:color w:val="FFFFFF"/>
                <w:sz w:val="16"/>
              </w:rPr>
              <w:t>Комментарий</w:t>
            </w:r>
          </w:p>
        </w:tc>
      </w:tr>
      <w:tr>
        <w:trPr>
          <w:cantSplit/>
        </w:trPr>
        <w:tc>
          <w:tcPr>
            <w:tcW w:type="dxa" w:w="3389"/>
          </w:tcPr>
          <w:p>
            <w:r>
              <w:rPr>
                <w:rFonts w:ascii="Liberation Sans" w:hAnsi="Liberation Sans"/>
                <w:sz w:val="16"/>
              </w:rPr>
              <w:t>Любой работодатель / ИП с работниками</w:t>
            </w:r>
          </w:p>
        </w:tc>
        <w:tc>
          <w:tcPr>
            <w:tcW w:type="dxa" w:w="3389"/>
          </w:tcPr>
          <w:p>
            <w:r>
              <w:rPr>
                <w:rFonts w:ascii="Liberation Sans" w:hAnsi="Liberation Sans"/>
                <w:sz w:val="16"/>
              </w:rPr>
              <w:t>СП 2.2.4285-26</w:t>
            </w:r>
          </w:p>
        </w:tc>
        <w:tc>
          <w:tcPr>
            <w:tcW w:type="dxa" w:w="3389"/>
          </w:tcPr>
          <w:p>
            <w:r>
              <w:rPr>
                <w:rFonts w:ascii="Liberation Sans" w:hAnsi="Liberation Sans"/>
                <w:sz w:val="16"/>
              </w:rPr>
              <w:t>Производственный контроль условий труда, рабочие места, санитарно-бытовые помещения, профилактические мероприятия.</w:t>
            </w:r>
          </w:p>
        </w:tc>
      </w:tr>
      <w:tr>
        <w:trPr>
          <w:cantSplit/>
        </w:trPr>
        <w:tc>
          <w:tcPr>
            <w:tcW w:type="dxa" w:w="3389"/>
            <w:shd w:fill="F8F5F0"/>
          </w:tcPr>
          <w:p>
            <w:r>
              <w:rPr>
                <w:rFonts w:ascii="Liberation Sans" w:hAnsi="Liberation Sans"/>
                <w:sz w:val="16"/>
              </w:rPr>
              <w:t>Кафе, ресторан, столовая, пекарня, кейтеринг</w:t>
            </w:r>
          </w:p>
        </w:tc>
        <w:tc>
          <w:tcPr>
            <w:tcW w:type="dxa" w:w="3389"/>
            <w:shd w:fill="F8F5F0"/>
          </w:tcPr>
          <w:p>
            <w:r>
              <w:rPr>
                <w:rFonts w:ascii="Liberation Sans" w:hAnsi="Liberation Sans"/>
                <w:sz w:val="16"/>
              </w:rPr>
              <w:t>СанПиН 2.3/2.4.4282-26 + СП 2.1.4284-26 + СП 2.2.4285-26</w:t>
            </w:r>
          </w:p>
        </w:tc>
        <w:tc>
          <w:tcPr>
            <w:tcW w:type="dxa" w:w="3389"/>
            <w:shd w:fill="F8F5F0"/>
          </w:tcPr>
          <w:p>
            <w:r>
              <w:rPr>
                <w:rFonts w:ascii="Liberation Sans" w:hAnsi="Liberation Sans"/>
                <w:sz w:val="16"/>
              </w:rPr>
              <w:t>Питание + объект/помещение + условия труда.</w:t>
            </w:r>
          </w:p>
        </w:tc>
      </w:tr>
      <w:tr>
        <w:trPr>
          <w:cantSplit/>
        </w:trPr>
        <w:tc>
          <w:tcPr>
            <w:tcW w:type="dxa" w:w="3389"/>
          </w:tcPr>
          <w:p>
            <w:r>
              <w:rPr>
                <w:rFonts w:ascii="Liberation Sans" w:hAnsi="Liberation Sans"/>
                <w:sz w:val="16"/>
              </w:rPr>
              <w:t>Продуктовый магазин, рынок, ярмарка</w:t>
            </w:r>
          </w:p>
        </w:tc>
        <w:tc>
          <w:tcPr>
            <w:tcW w:type="dxa" w:w="3389"/>
          </w:tcPr>
          <w:p>
            <w:r>
              <w:rPr>
                <w:rFonts w:ascii="Liberation Sans" w:hAnsi="Liberation Sans"/>
                <w:sz w:val="16"/>
              </w:rPr>
              <w:t>СП 2.3.6.4281-26 + СП 2.1.4284-26 + СП 2.2.4285-26</w:t>
            </w:r>
          </w:p>
        </w:tc>
        <w:tc>
          <w:tcPr>
            <w:tcW w:type="dxa" w:w="3389"/>
          </w:tcPr>
          <w:p>
            <w:r>
              <w:rPr>
                <w:rFonts w:ascii="Liberation Sans" w:hAnsi="Liberation Sans"/>
                <w:sz w:val="16"/>
              </w:rPr>
              <w:t>Реализация и хранение пищевой продукции + помещение + работники.</w:t>
            </w:r>
          </w:p>
        </w:tc>
      </w:tr>
      <w:tr>
        <w:trPr>
          <w:cantSplit/>
        </w:trPr>
        <w:tc>
          <w:tcPr>
            <w:tcW w:type="dxa" w:w="3389"/>
            <w:shd w:fill="F8F5F0"/>
          </w:tcPr>
          <w:p>
            <w:r>
              <w:rPr>
                <w:rFonts w:ascii="Liberation Sans" w:hAnsi="Liberation Sans"/>
                <w:sz w:val="16"/>
              </w:rPr>
              <w:t>Парикмахерская, салон красоты, бытовые и сервисные услуги</w:t>
            </w:r>
          </w:p>
        </w:tc>
        <w:tc>
          <w:tcPr>
            <w:tcW w:type="dxa" w:w="3389"/>
            <w:shd w:fill="F8F5F0"/>
          </w:tcPr>
          <w:p>
            <w:r>
              <w:rPr>
                <w:rFonts w:ascii="Liberation Sans" w:hAnsi="Liberation Sans"/>
                <w:sz w:val="16"/>
              </w:rPr>
              <w:t>СП 2.1.4284-26 + СП 2.2.4285-26</w:t>
            </w:r>
          </w:p>
        </w:tc>
        <w:tc>
          <w:tcPr>
            <w:tcW w:type="dxa" w:w="3389"/>
            <w:shd w:fill="F8F5F0"/>
          </w:tcPr>
          <w:p>
            <w:r>
              <w:rPr>
                <w:rFonts w:ascii="Liberation Sans" w:hAnsi="Liberation Sans"/>
                <w:sz w:val="16"/>
              </w:rPr>
              <w:t>Особенно важны вода, вентиляция, уборка, оборудование, санитарные процедуры; для отдельных услуг — профильные нормы.</w:t>
            </w:r>
          </w:p>
        </w:tc>
      </w:tr>
      <w:tr>
        <w:trPr>
          <w:cantSplit/>
        </w:trPr>
        <w:tc>
          <w:tcPr>
            <w:tcW w:type="dxa" w:w="3389"/>
          </w:tcPr>
          <w:p>
            <w:r>
              <w:rPr>
                <w:rFonts w:ascii="Liberation Sans" w:hAnsi="Liberation Sans"/>
                <w:sz w:val="16"/>
              </w:rPr>
              <w:t>Гостиница, фитнес, досуг, культура, социальные услуги</w:t>
            </w:r>
          </w:p>
        </w:tc>
        <w:tc>
          <w:tcPr>
            <w:tcW w:type="dxa" w:w="3389"/>
          </w:tcPr>
          <w:p>
            <w:r>
              <w:rPr>
                <w:rFonts w:ascii="Liberation Sans" w:hAnsi="Liberation Sans"/>
                <w:sz w:val="16"/>
              </w:rPr>
              <w:t>СП 2.1.4284-26 + СП 2.2.4285-26</w:t>
            </w:r>
          </w:p>
        </w:tc>
        <w:tc>
          <w:tcPr>
            <w:tcW w:type="dxa" w:w="3389"/>
          </w:tcPr>
          <w:p>
            <w:r>
              <w:rPr>
                <w:rFonts w:ascii="Liberation Sans" w:hAnsi="Liberation Sans"/>
                <w:sz w:val="16"/>
              </w:rPr>
              <w:t>Проверить требования к помещениям, воде, воздухообмену, уборке, отходам, душевым и т. п.</w:t>
            </w:r>
          </w:p>
        </w:tc>
      </w:tr>
      <w:tr>
        <w:trPr>
          <w:cantSplit/>
        </w:trPr>
        <w:tc>
          <w:tcPr>
            <w:tcW w:type="dxa" w:w="3389"/>
            <w:shd w:fill="F8F5F0"/>
          </w:tcPr>
          <w:p>
            <w:r>
              <w:rPr>
                <w:rFonts w:ascii="Liberation Sans" w:hAnsi="Liberation Sans"/>
                <w:sz w:val="16"/>
              </w:rPr>
              <w:t>Детский центр, частный сад, школа, лагерь, кружки/мероприятия с детьми</w:t>
            </w:r>
          </w:p>
        </w:tc>
        <w:tc>
          <w:tcPr>
            <w:tcW w:type="dxa" w:w="3389"/>
            <w:shd w:fill="F8F5F0"/>
          </w:tcPr>
          <w:p>
            <w:r>
              <w:rPr>
                <w:rFonts w:ascii="Liberation Sans" w:hAnsi="Liberation Sans"/>
                <w:sz w:val="16"/>
              </w:rPr>
              <w:t>СП 2.4.2.4283-26; при питании — СанПиН 2.3/2.4.4282-26</w:t>
            </w:r>
          </w:p>
        </w:tc>
        <w:tc>
          <w:tcPr>
            <w:tcW w:type="dxa" w:w="3389"/>
            <w:shd w:fill="F8F5F0"/>
          </w:tcPr>
          <w:p>
            <w:r>
              <w:rPr>
                <w:rFonts w:ascii="Liberation Sans" w:hAnsi="Liberation Sans"/>
                <w:sz w:val="16"/>
              </w:rPr>
              <w:t>Плюс общие требования к помещению и условиям труда, если применимы.</w:t>
            </w:r>
          </w:p>
        </w:tc>
      </w:tr>
      <w:tr>
        <w:trPr>
          <w:cantSplit/>
        </w:trPr>
        <w:tc>
          <w:tcPr>
            <w:tcW w:type="dxa" w:w="3389"/>
          </w:tcPr>
          <w:p>
            <w:r>
              <w:rPr>
                <w:rFonts w:ascii="Liberation Sans" w:hAnsi="Liberation Sans"/>
                <w:sz w:val="16"/>
              </w:rPr>
              <w:t>Воздушный, водный, железнодорожный транспорт, метро и соответствующая инфраструктура</w:t>
            </w:r>
          </w:p>
        </w:tc>
        <w:tc>
          <w:tcPr>
            <w:tcW w:type="dxa" w:w="3389"/>
          </w:tcPr>
          <w:p>
            <w:r>
              <w:rPr>
                <w:rFonts w:ascii="Liberation Sans" w:hAnsi="Liberation Sans"/>
                <w:sz w:val="16"/>
              </w:rPr>
              <w:t>СП 2.5.4286-26</w:t>
            </w:r>
          </w:p>
        </w:tc>
        <w:tc>
          <w:tcPr>
            <w:tcW w:type="dxa" w:w="3389"/>
          </w:tcPr>
          <w:p>
            <w:r>
              <w:rPr>
                <w:rFonts w:ascii="Liberation Sans" w:hAnsi="Liberation Sans"/>
                <w:sz w:val="16"/>
              </w:rPr>
              <w:t>Не следует автоматически считать этот документ правилом для любого такси или грузоперевозчика: область применения специализированная.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10166"/>
            <w:shd w:fill="FFF8ED"/>
            <w:tcBorders>
              <w:top w:val="single" w:sz="6" w:color="DDD8CF"/>
              <w:left w:val="single" w:sz="18" w:color="C86A21"/>
              <w:bottom w:val="single" w:sz="6" w:color="DDD8CF"/>
              <w:right w:val="single" w:sz="6" w:color="DDD8CF"/>
            </w:tcBorders>
          </w:tcPr>
          <w:p>
            <w:r>
              <w:rPr>
                <w:rFonts w:ascii="Liberation Sans" w:hAnsi="Liberation Sans"/>
                <w:b/>
                <w:color w:val="C86A21"/>
                <w:sz w:val="19"/>
              </w:rPr>
              <w:t>КОРРЕКТИРОВКА ИСХОДНОЙ ГИПОТЕЗЫ</w:t>
            </w:r>
          </w:p>
          <w:p>
            <w:pPr/>
            <w:r>
              <w:t>Нельзя писать, что новые правила одинаково «существенно меняют» работу всех перечисленных сфер. Например, по детским организациям сравнительный обзор показывает в основном редакционные, структурные и ссылочные изменения. Поэтому материал разделяет: (1) сам факт смены нормативного акта; (2) реально подтвержденные изменения; (3) практическую проверку действующих требований.</w:t>
            </w:r>
          </w:p>
        </w:tc>
      </w:tr>
    </w:tbl>
    <w:p>
      <w:pPr>
        <w:spacing w:after="20"/>
      </w:pPr>
    </w:p>
    <w:p>
      <w:pPr>
        <w:pStyle w:val="Heading1"/>
      </w:pPr>
      <w:r>
        <w:t>3. СП 2.2.4285-26: условия труда</w:t>
      </w:r>
    </w:p>
    <w:p>
      <w:r>
        <w:t>Обязателен для юридических лиц и индивидуальных предпринимателей в части обеспечения безопасных для человека условий труда. Новый документ заменяет СП 2.2.3670-20.</w:t>
      </w:r>
    </w:p>
    <w:p>
      <w:pPr>
        <w:pStyle w:val="Heading2"/>
      </w:pPr>
      <w:r>
        <w:t>Что подтверждено в новой редакции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Организация производственного контроля за условиями труда.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Разработка и выполнение санитарно-противоэпидемических (профилактических) мероприятий для предупреждения вредного воздействия факторов производственной среды и трудового процесса.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Требования к организации технологических процессов и рабочих мест.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Требования к производственным и санитарно-бытовым помещениям.</w:t>
      </w:r>
    </w:p>
    <w:p>
      <w:pPr>
        <w:pStyle w:val="Heading2"/>
      </w:pPr>
      <w:r>
        <w:t>Что проверить работодателю до 1 сентября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Есть ли актуальная программа производственного контроля и охватывает ли она факторы, реально присутствующие на рабочих местах.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Не ссылаются ли локальные документы на СП 2.2.3670-20 без указания новой редакции.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Соответствуют ли рабочие и санитарно-бытовые помещения фактическому составу работников и технологическим процессам.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Есть ли подтверждения измерений/контроля факторов рабочей среды там, где это необходимо по характеру деятельности.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Назначены ли ответственные за санитарное состояние, вентиляцию, уборку, профилактические мероприятия и ведение доказательств выполнения.</w:t>
      </w:r>
    </w:p>
    <w:p>
      <w:pPr>
        <w:pStyle w:val="Heading1"/>
      </w:pPr>
      <w:r>
        <w:t>4. СП 2.5.4286-26: отдельные виды транспорта</w:t>
      </w:r>
    </w:p>
    <w:p>
      <w:r>
        <w:t>Новый документ заменяет СП 2.5.3650-20. По открытым правовым обзорам его основная область — воздушный, водный и железнодорожный транспорт, метрополитен и соответствующая инфраструктура.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Параметры микроклимата и освещенности.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Предельно допустимые уровни шума, инфразвука, электромагнитного излучения и общей вибрации.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Периодичность уборки и требования к дезинфекции.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Условия труда персонала на соответствующих объектах транспорта.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10166"/>
            <w:shd w:fill="F3EFE8"/>
            <w:tcBorders>
              <w:top w:val="single" w:sz="6" w:color="DDD8CF"/>
              <w:left w:val="single" w:sz="18" w:color="B08C54"/>
              <w:bottom w:val="single" w:sz="6" w:color="DDD8CF"/>
              <w:right w:val="single" w:sz="6" w:color="DDD8CF"/>
            </w:tcBorders>
          </w:tcPr>
          <w:p>
            <w:r>
              <w:rPr>
                <w:rFonts w:ascii="Liberation Sans" w:hAnsi="Liberation Sans"/>
                <w:b/>
                <w:color w:val="B08C54"/>
                <w:sz w:val="19"/>
              </w:rPr>
              <w:t>НЕ РАСШИРЯТЬ ОБЛАСТЬ ПРИМЕНЕНИЯ</w:t>
            </w:r>
          </w:p>
          <w:p>
            <w:pPr/>
            <w:r>
              <w:t>Для обычного малого бизнеса важно не сделать ошибочный вывод «правило касается всех перевозчиков». Сначала сверяется конкретный вид транспорта и объект инфраструктуры с областью применения СП 2.5.4286-26.</w:t>
            </w:r>
          </w:p>
        </w:tc>
      </w:tr>
    </w:tbl>
    <w:p>
      <w:pPr>
        <w:spacing w:after="20"/>
      </w:pPr>
    </w:p>
    <w:p>
      <w:pPr>
        <w:pStyle w:val="Heading1"/>
      </w:pPr>
      <w:r>
        <w:t>5. СП 2.3.6.4281-26: продуктовая торговля, рынки и ярмарки</w:t>
      </w:r>
    </w:p>
    <w:p>
      <w:r>
        <w:t>Правила распространяются на деятельность, связанную с реализацией пищевой продукции, в том числе на рынках и ярмарках, а также на используемые помещения, территории, оборудование и транспорт.</w:t>
      </w:r>
    </w:p>
    <w:p>
      <w:pPr>
        <w:pStyle w:val="Heading2"/>
      </w:pPr>
      <w:r>
        <w:t>Что бизнесу сверить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Размещение торгового объекта, зоны разгрузки и взаимодействие с жилой застройкой — по применимости.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Водоснабжение, отопление, вентиляцию и освещение.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Приемку, размещение и хранение пищевой продукции.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Состояние оборудования, инвентаря и посуды.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Схему обращения с отходами и упаковочными материалами.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Инструкции для персонала о недопуске/сообщении о признаках заболевания.</w:t>
      </w:r>
    </w:p>
    <w:p>
      <w:pPr>
        <w:pStyle w:val="Heading2"/>
      </w:pPr>
      <w:r>
        <w:t>Подтвержденные точечные изменения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В новой редакции уточнено накопление бывшей в употреблении упаковки и упаковочных материалов без органических остатков: временное хранение допускается только в специально отведенных местах, не в торговом зале, производственных/фасовочных помещениях и коридорах; прежняя возможность собирать их в емкостях в производственных помещениях в новой редакции не сохранена.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Уточнена формулировка о заболевании персонала: речь идет о сообщении руководителю торгового объекта о заболевании ОРВИ вместо прежней общей формулировки о «простудных заболеваниях».</w:t>
      </w:r>
    </w:p>
    <w:p>
      <w:pPr>
        <w:pStyle w:val="Heading1"/>
      </w:pPr>
      <w:r>
        <w:t>6. СанПиН 2.3/2.4.4282-26: общественное питание</w:t>
      </w:r>
    </w:p>
    <w:p>
      <w:r>
        <w:t>Новый СанПиН заменяет СанПиН 2.3/2.4.3590-20. Он охватывает организацию питания населения, включая специальные блоки по кейтерингу и питанию детей.</w:t>
      </w:r>
    </w:p>
    <w:p>
      <w:pPr>
        <w:pStyle w:val="Heading2"/>
      </w:pPr>
      <w:r>
        <w:t>Практический аудит общепита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Приемка сырья и пищевой продукции: документы, сроки годности, целостность упаковки, температурные условия.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Раздельность и условия хранения сырья, полуфабрикатов и готовой продукции.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Технологические процессы приготовления и предотвращение перекрестного загрязнения.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Личная гигиена и допуск персонала к работе.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Уборка, мойка, дезинфекция, обращение с отходами.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Кейтеринг/доставка готовой продукции — если используется.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При питании детей — специальные требования и формы учета/контроля, предусмотренные новым СанПиН.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10166"/>
            <w:shd w:fill="F3EFE8"/>
            <w:tcBorders>
              <w:top w:val="single" w:sz="6" w:color="DDD8CF"/>
              <w:left w:val="single" w:sz="18" w:color="B08C54"/>
              <w:bottom w:val="single" w:sz="6" w:color="DDD8CF"/>
              <w:right w:val="single" w:sz="6" w:color="DDD8CF"/>
            </w:tcBorders>
          </w:tcPr>
          <w:p>
            <w:r>
              <w:rPr>
                <w:rFonts w:ascii="Liberation Sans" w:hAnsi="Liberation Sans"/>
                <w:b/>
                <w:color w:val="B08C54"/>
                <w:sz w:val="19"/>
              </w:rPr>
              <w:t>НЕ ДЕЛАТЬ ЛОЖНЫЙ ВЫВОД</w:t>
            </w:r>
          </w:p>
          <w:p>
            <w:pPr/>
            <w:r>
              <w:t>Сам факт нового номера СанПиН не означает, что все прежние процессы общепита стали недействительными. Нужно сопоставить текущие процедуры с новой редакцией и обновить только то, что изменилось или не соответствует актуальному тексту.</w:t>
            </w:r>
          </w:p>
        </w:tc>
      </w:tr>
    </w:tbl>
    <w:p>
      <w:pPr>
        <w:spacing w:after="20"/>
      </w:pPr>
    </w:p>
    <w:p>
      <w:pPr>
        <w:pStyle w:val="Heading1"/>
      </w:pPr>
      <w:r>
        <w:t>7. СП 2.4.2.4283-26: дети, обучение, отдых и мероприятия</w:t>
      </w:r>
    </w:p>
    <w:p>
      <w:r>
        <w:t>Правила охватывают образовательную деятельность, воспитание и обучение, спортивную подготовку, уход и присмотр за детьми, временный досуг детей в специально выделенных местах, отдых и оздоровление, временное проживание, социальные услуги для детей, мероприятия с участием детей и железнодорожные перевозки организованных групп.</w:t>
      </w:r>
    </w:p>
    <w:p>
      <w:pPr>
        <w:pStyle w:val="Heading2"/>
      </w:pPr>
      <w:r>
        <w:t>Что важно именно сейчас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Заменить ссылки на СП 2.4.3648-20 в локальных документах на новую редакцию там, где это необходимо.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Сверить режим работы, помещения, наполняемость/организацию групп, санитарные процедуры и требования к мероприятиям по актуальному тексту.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Если организация кормит детей, параллельно проверить СанПиН 2.3/2.4.4282-26.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Не планировать капитальную перестройку только из-за смены номера: по сравнительному обзору существенная часть отличий связана с исправлением опечаток, ссылок, структуры и нумерации.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10166"/>
            <w:shd w:fill="FFF8ED"/>
            <w:tcBorders>
              <w:top w:val="single" w:sz="6" w:color="DDD8CF"/>
              <w:left w:val="single" w:sz="18" w:color="C86A21"/>
              <w:bottom w:val="single" w:sz="6" w:color="DDD8CF"/>
              <w:right w:val="single" w:sz="6" w:color="DDD8CF"/>
            </w:tcBorders>
          </w:tcPr>
          <w:p>
            <w:r>
              <w:rPr>
                <w:rFonts w:ascii="Liberation Sans" w:hAnsi="Liberation Sans"/>
                <w:b/>
                <w:color w:val="C86A21"/>
                <w:sz w:val="19"/>
              </w:rPr>
              <w:t>ОСОБЕННОСТЬ ЭТОЙ СФЕРЫ</w:t>
            </w:r>
          </w:p>
          <w:p>
            <w:pPr/>
            <w:r>
              <w:t>Из шести документов именно по детским организациям доступный сравнительный анализ не подтверждает масштабной содержательной реформы. Главный риск перед 1 сентября — продолжать пользоваться устаревшими ссылками и не сверить локальные документы с новой структурой.</w:t>
            </w:r>
          </w:p>
        </w:tc>
      </w:tr>
    </w:tbl>
    <w:p>
      <w:pPr>
        <w:spacing w:after="20"/>
      </w:pPr>
    </w:p>
    <w:p>
      <w:pPr>
        <w:pStyle w:val="Heading1"/>
      </w:pPr>
      <w:r>
        <w:t>8. СП 2.1.4284-26: услуги, помещения, здания и оборудование</w:t>
      </w:r>
    </w:p>
    <w:p>
      <w:r>
        <w:t>Это наиболее широкий по охвату документ для сервисного бизнеса. Он применяется к гостиничным, медицинским, бытовым, социальным услугам, культуре, спорту, досугу и развлечениям, а также к продаже отдельных товаров для личных и бытовых нужд.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Водоснабжение и водоотведение.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Воздухообмен, вентиляция, микроклимат — по применимости.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Освещение.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Сбор и удаление отходов.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Уборка и санитарное содержание помещений.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Требования к пищеблокам и душевым — если такие зоны есть.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Производственный контроль и лабораторные исследования в случаях, предусмотренных правилами и фактическими факторами объекта.</w:t>
      </w:r>
    </w:p>
    <w:p>
      <w:pPr>
        <w:pStyle w:val="Heading2"/>
      </w:pPr>
      <w:r>
        <w:t>Важное переходное положение</w:t>
      </w:r>
    </w:p>
    <w:p>
      <w:r>
        <w:t>Объекты, введенные в эксплуатацию до 1 сентября 2026 года, а также объекты, строительство, реконструкция или ввод которых начались до этой даты, могут эксплуатироваться в соответствии с утвержденной проектной документацией, по которой они были построены. Это снижает риск ошибочного требования «переделать все помещения под новую редакцию» без анализа конкретного объекта.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10166"/>
            <w:shd w:fill="F3EFE8"/>
            <w:tcBorders>
              <w:top w:val="single" w:sz="6" w:color="DDD8CF"/>
              <w:left w:val="single" w:sz="18" w:color="B08C54"/>
              <w:bottom w:val="single" w:sz="6" w:color="DDD8CF"/>
              <w:right w:val="single" w:sz="6" w:color="DDD8CF"/>
            </w:tcBorders>
          </w:tcPr>
          <w:p>
            <w:r>
              <w:rPr>
                <w:rFonts w:ascii="Liberation Sans" w:hAnsi="Liberation Sans"/>
                <w:b/>
                <w:color w:val="B08C54"/>
                <w:sz w:val="19"/>
              </w:rPr>
              <w:t>ПРИМЕР ДЛЯ МАЛОГО БИЗНЕСА</w:t>
            </w:r>
          </w:p>
          <w:p>
            <w:pPr/>
            <w:r>
              <w:t>Для салона красоты, фитнес-студии или бытовой услуги первым шагом должен быть не ремонт, а карта объекта: вода → вентиляция → уборка → отходы → оборудование → санитарные процедуры → доказательства контроля. Только после выявления конкретного несоответствия принимается решение о затратах.</w:t>
            </w:r>
          </w:p>
        </w:tc>
      </w:tr>
    </w:tbl>
    <w:p>
      <w:pPr>
        <w:spacing w:after="20"/>
      </w:pPr>
    </w:p>
    <w:p>
      <w:pPr>
        <w:pStyle w:val="Heading1"/>
      </w:pPr>
      <w:r>
        <w:t>9. План действий до 1 сентября: 72-часовой режим</w:t>
      </w:r>
    </w:p>
    <w:p>
      <w:r>
        <w:rPr>
          <w:b/>
          <w:color w:val="B08C54"/>
        </w:rPr>
        <w:t>Шаг 1. Определить применимые правила</w:t>
      </w:r>
      <w:r>
        <w:t xml:space="preserve"> — Зафиксировать вид деятельности, наличие работников, пищевой продукции, питания детей, специальных помещений и транспорта. Отметить только относящиеся документы.</w:t>
      </w:r>
    </w:p>
    <w:p>
      <w:r>
        <w:rPr>
          <w:b/>
          <w:color w:val="B08C54"/>
        </w:rPr>
        <w:t>Шаг 2. Провести аудит ссылок</w:t>
      </w:r>
      <w:r>
        <w:t xml:space="preserve"> — Найти в инструкциях, программах производственного контроля, регламентах, договорах и памятках ссылки на отменяемые СП/СанПиН.</w:t>
      </w:r>
    </w:p>
    <w:p>
      <w:r>
        <w:rPr>
          <w:b/>
          <w:color w:val="B08C54"/>
        </w:rPr>
        <w:t>Шаг 3. Провести фактический осмотр</w:t>
      </w:r>
      <w:r>
        <w:t xml:space="preserve"> — Помещения, вода, вентиляция, уборка, отходы, хранение, оборудование, санитарно-бытовые зоны, рабочие места — только по применимому перечню.</w:t>
      </w:r>
    </w:p>
    <w:p>
      <w:r>
        <w:rPr>
          <w:b/>
          <w:color w:val="B08C54"/>
        </w:rPr>
        <w:t>Шаг 4. Закрыть быстрые несоответствия</w:t>
      </w:r>
      <w:r>
        <w:t xml:space="preserve"> — Маркировка, размещение материалов, инструкции, графики уборки, хранение упаковки, информирование персонала, распределение ответственности.</w:t>
      </w:r>
    </w:p>
    <w:p>
      <w:r>
        <w:rPr>
          <w:b/>
          <w:color w:val="B08C54"/>
        </w:rPr>
        <w:t>Шаг 5. Зафиксировать долгие задачи</w:t>
      </w:r>
      <w:r>
        <w:t xml:space="preserve"> — Если нужны измерения, лаборатория, ремонт, вентиляция или изменение процессов — оформить задачу, ответственного и срок; не маскировать проблему формальной подписью.</w:t>
      </w:r>
    </w:p>
    <w:p>
      <w:r>
        <w:rPr>
          <w:b/>
          <w:color w:val="B08C54"/>
        </w:rPr>
        <w:t>Шаг 6. Обновить локальные документы</w:t>
      </w:r>
      <w:r>
        <w:t xml:space="preserve"> — Менять не только номер нормативного акта, но и содержание процедур, если оно действительно изменилось.</w:t>
      </w:r>
    </w:p>
    <w:p>
      <w:r>
        <w:rPr>
          <w:b/>
          <w:color w:val="B08C54"/>
        </w:rPr>
        <w:t>Шаг 7. Провести короткий инструктаж</w:t>
      </w:r>
      <w:r>
        <w:t xml:space="preserve"> — Ответственные и сотрудники должны понимать, что изменилось именно в их работе. Факт инструктажа/ознакомления фиксируется по принятой в компании процедуре.</w:t>
      </w:r>
    </w:p>
    <w:p>
      <w:r>
        <w:rPr>
          <w:b/>
          <w:color w:val="B08C54"/>
        </w:rPr>
        <w:t>Шаг 8. Собрать папку доказательств</w:t>
      </w:r>
      <w:r>
        <w:t xml:space="preserve"> — Актуальные документы, акты, журналы, договоры, протоколы исследований, фотографии, инструкции и подтверждения устранения замечаний.</w:t>
      </w:r>
    </w:p>
    <w:p>
      <w:pPr>
        <w:pStyle w:val="Heading1"/>
      </w:pPr>
      <w:r>
        <w:t>10. Универсальный чек-лист руководителя</w:t>
      </w:r>
    </w:p>
    <w:p>
      <w:pPr/>
      <w:r>
        <w:rPr>
          <w:color w:val="C86A21"/>
        </w:rPr>
        <w:t xml:space="preserve">☐ </w:t>
      </w:r>
      <w:r>
        <w:t>Определены все применимые новые СП/СанПиН.</w:t>
      </w:r>
    </w:p>
    <w:p>
      <w:pPr/>
      <w:r>
        <w:rPr>
          <w:color w:val="C86A21"/>
        </w:rPr>
        <w:t xml:space="preserve">☐ </w:t>
      </w:r>
      <w:r>
        <w:t>Составлен перечень старых ссылок в локальных документах.</w:t>
      </w:r>
    </w:p>
    <w:p>
      <w:pPr/>
      <w:r>
        <w:rPr>
          <w:color w:val="C86A21"/>
        </w:rPr>
        <w:t xml:space="preserve">☐ </w:t>
      </w:r>
      <w:r>
        <w:t>Проверена программа производственного контроля — по применимости.</w:t>
      </w:r>
    </w:p>
    <w:p>
      <w:pPr/>
      <w:r>
        <w:rPr>
          <w:color w:val="C86A21"/>
        </w:rPr>
        <w:t xml:space="preserve">☐ </w:t>
      </w:r>
      <w:r>
        <w:t>Проверено фактическое состояние помещений и оборудования.</w:t>
      </w:r>
    </w:p>
    <w:p>
      <w:pPr/>
      <w:r>
        <w:rPr>
          <w:color w:val="C86A21"/>
        </w:rPr>
        <w:t xml:space="preserve">☐ </w:t>
      </w:r>
      <w:r>
        <w:t>Проверены вода, вентиляция/воздухообмен, освещение и микроклимат — по применимости.</w:t>
      </w:r>
    </w:p>
    <w:p>
      <w:pPr/>
      <w:r>
        <w:rPr>
          <w:color w:val="C86A21"/>
        </w:rPr>
        <w:t xml:space="preserve">☐ </w:t>
      </w:r>
      <w:r>
        <w:t>Проверены санитарно-бытовые зоны работников.</w:t>
      </w:r>
    </w:p>
    <w:p>
      <w:pPr/>
      <w:r>
        <w:rPr>
          <w:color w:val="C86A21"/>
        </w:rPr>
        <w:t xml:space="preserve">☐ </w:t>
      </w:r>
      <w:r>
        <w:t>Проверены уборка, дезинфекция и обращение с отходами.</w:t>
      </w:r>
    </w:p>
    <w:p>
      <w:pPr/>
      <w:r>
        <w:rPr>
          <w:color w:val="C86A21"/>
        </w:rPr>
        <w:t xml:space="preserve">☐ </w:t>
      </w:r>
      <w:r>
        <w:t>Для пищевого бизнеса проверены приемка, хранение, технологические процессы и персонал.</w:t>
      </w:r>
    </w:p>
    <w:p>
      <w:pPr/>
      <w:r>
        <w:rPr>
          <w:color w:val="C86A21"/>
        </w:rPr>
        <w:t xml:space="preserve">☐ </w:t>
      </w:r>
      <w:r>
        <w:t>Для детских организаций проверены локальные документы и, при наличии питания, новый СанПиН для общепита.</w:t>
      </w:r>
    </w:p>
    <w:p>
      <w:pPr/>
      <w:r>
        <w:rPr>
          <w:color w:val="C86A21"/>
        </w:rPr>
        <w:t xml:space="preserve">☐ </w:t>
      </w:r>
      <w:r>
        <w:t>Для торговых объектов проверена схема временного хранения упаковочных материалов.</w:t>
      </w:r>
    </w:p>
    <w:p>
      <w:pPr/>
      <w:r>
        <w:rPr>
          <w:color w:val="C86A21"/>
        </w:rPr>
        <w:t xml:space="preserve">☐ </w:t>
      </w:r>
      <w:r>
        <w:t>Назначены ответственные и сроки по выявленным несоответствиям.</w:t>
      </w:r>
    </w:p>
    <w:p>
      <w:pPr/>
      <w:r>
        <w:rPr>
          <w:color w:val="C86A21"/>
        </w:rPr>
        <w:t xml:space="preserve">☐ </w:t>
      </w:r>
      <w:r>
        <w:t>Есть доказательства закрытия задач, а не только устные отметки.</w:t>
      </w:r>
    </w:p>
    <w:p>
      <w:pPr>
        <w:pStyle w:val="Heading1"/>
      </w:pPr>
      <w:r>
        <w:t>11. Какие документы обычно стоит пересмотреть</w:t>
      </w:r>
    </w:p>
    <w:p>
      <w:r>
        <w:t>Перечень зависит от деятельности. Ниже — не список обязательных документов для каждого бизнеса, а карта поиска.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Программа производственного контроля и приложения к ней.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Санитарные инструкции, стандартные операционные процедуры, регламенты уборки и дезинфекции.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Журналы и формы учета, предусмотренные профильными правилами.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Инструкции по приемке, хранению и обращению с пищевой продукцией.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Документы по обращению с отходами и упаковочными материалами.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Документы по вентиляции, воде, лабораторным исследованиям и измерениям — если применимы.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Локальные документы детских и образовательных организаций.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Инструкции персоналу о действиях при признаках инфекционного заболевания.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Договоры с подрядчиками, лабораториями, службами уборки/дезинфекции/обращения с отходами — если такие работы переданы наружу.</w:t>
      </w:r>
    </w:p>
    <w:p>
      <w:pPr>
        <w:pStyle w:val="Heading1"/>
      </w:pPr>
      <w:r>
        <w:t>12. Когда нужен внешний специалист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cantSplit/>
          <w:tblHeader w:val="true"/>
        </w:trPr>
        <w:tc>
          <w:tcPr>
            <w:tcW w:type="dxa" w:w="3389"/>
            <w:shd w:fill="0E1E35"/>
          </w:tcPr>
          <w:p>
            <w:r>
              <w:rPr>
                <w:rFonts w:ascii="Liberation Sans" w:hAnsi="Liberation Sans"/>
                <w:b/>
                <w:color w:val="FFFFFF"/>
                <w:sz w:val="17"/>
              </w:rPr>
              <w:t>Ситуация</w:t>
            </w:r>
          </w:p>
        </w:tc>
        <w:tc>
          <w:tcPr>
            <w:tcW w:type="dxa" w:w="3389"/>
            <w:shd w:fill="0E1E35"/>
          </w:tcPr>
          <w:p>
            <w:r>
              <w:rPr>
                <w:rFonts w:ascii="Liberation Sans" w:hAnsi="Liberation Sans"/>
                <w:b/>
                <w:color w:val="FFFFFF"/>
                <w:sz w:val="17"/>
              </w:rPr>
              <w:t>Кого привлекать</w:t>
            </w:r>
          </w:p>
        </w:tc>
        <w:tc>
          <w:tcPr>
            <w:tcW w:type="dxa" w:w="3389"/>
            <w:shd w:fill="0E1E35"/>
          </w:tcPr>
          <w:p>
            <w:r>
              <w:rPr>
                <w:rFonts w:ascii="Liberation Sans" w:hAnsi="Liberation Sans"/>
                <w:b/>
                <w:color w:val="FFFFFF"/>
                <w:sz w:val="17"/>
              </w:rPr>
              <w:t>Почему</w:t>
            </w:r>
          </w:p>
        </w:tc>
      </w:tr>
      <w:tr>
        <w:trPr>
          <w:cantSplit/>
        </w:trPr>
        <w:tc>
          <w:tcPr>
            <w:tcW w:type="dxa" w:w="3389"/>
          </w:tcPr>
          <w:p>
            <w:r>
              <w:rPr>
                <w:rFonts w:ascii="Liberation Sans" w:hAnsi="Liberation Sans"/>
                <w:sz w:val="17"/>
              </w:rPr>
              <w:t>Нужно измерить факторы рабочей среды</w:t>
            </w:r>
          </w:p>
        </w:tc>
        <w:tc>
          <w:tcPr>
            <w:tcW w:type="dxa" w:w="3389"/>
          </w:tcPr>
          <w:p>
            <w:r>
              <w:rPr>
                <w:rFonts w:ascii="Liberation Sans" w:hAnsi="Liberation Sans"/>
                <w:sz w:val="17"/>
              </w:rPr>
              <w:t>Аккредитованная лаборатория / специалист по производственному контролю</w:t>
            </w:r>
          </w:p>
        </w:tc>
        <w:tc>
          <w:tcPr>
            <w:tcW w:type="dxa" w:w="3389"/>
          </w:tcPr>
          <w:p>
            <w:r>
              <w:rPr>
                <w:rFonts w:ascii="Liberation Sans" w:hAnsi="Liberation Sans"/>
                <w:sz w:val="17"/>
              </w:rPr>
              <w:t>Самостоятельная оценка без измерений может быть недостаточна.</w:t>
            </w:r>
          </w:p>
        </w:tc>
      </w:tr>
      <w:tr>
        <w:trPr>
          <w:cantSplit/>
        </w:trPr>
        <w:tc>
          <w:tcPr>
            <w:tcW w:type="dxa" w:w="3389"/>
            <w:shd w:fill="F8F5F0"/>
          </w:tcPr>
          <w:p>
            <w:r>
              <w:rPr>
                <w:rFonts w:ascii="Liberation Sans" w:hAnsi="Liberation Sans"/>
                <w:sz w:val="17"/>
              </w:rPr>
              <w:t>Есть сомнения по вентиляции, воздухообмену, воде</w:t>
            </w:r>
          </w:p>
        </w:tc>
        <w:tc>
          <w:tcPr>
            <w:tcW w:type="dxa" w:w="3389"/>
            <w:shd w:fill="F8F5F0"/>
          </w:tcPr>
          <w:p>
            <w:r>
              <w:rPr>
                <w:rFonts w:ascii="Liberation Sans" w:hAnsi="Liberation Sans"/>
                <w:sz w:val="17"/>
              </w:rPr>
              <w:t>Инженер / профильная организация / лаборатория</w:t>
            </w:r>
          </w:p>
        </w:tc>
        <w:tc>
          <w:tcPr>
            <w:tcW w:type="dxa" w:w="3389"/>
            <w:shd w:fill="F8F5F0"/>
          </w:tcPr>
          <w:p>
            <w:r>
              <w:rPr>
                <w:rFonts w:ascii="Liberation Sans" w:hAnsi="Liberation Sans"/>
                <w:sz w:val="17"/>
              </w:rPr>
              <w:t>Нужна проверка фактических параметров и проектных решений.</w:t>
            </w:r>
          </w:p>
        </w:tc>
      </w:tr>
      <w:tr>
        <w:trPr>
          <w:cantSplit/>
        </w:trPr>
        <w:tc>
          <w:tcPr>
            <w:tcW w:type="dxa" w:w="3389"/>
          </w:tcPr>
          <w:p>
            <w:r>
              <w:rPr>
                <w:rFonts w:ascii="Liberation Sans" w:hAnsi="Liberation Sans"/>
                <w:sz w:val="17"/>
              </w:rPr>
              <w:t>Помещение реконструируется или вводится после 01.09.2026</w:t>
            </w:r>
          </w:p>
        </w:tc>
        <w:tc>
          <w:tcPr>
            <w:tcW w:type="dxa" w:w="3389"/>
          </w:tcPr>
          <w:p>
            <w:r>
              <w:rPr>
                <w:rFonts w:ascii="Liberation Sans" w:hAnsi="Liberation Sans"/>
                <w:sz w:val="17"/>
              </w:rPr>
              <w:t>Проектировщик + профильный санитарный специалист</w:t>
            </w:r>
          </w:p>
        </w:tc>
        <w:tc>
          <w:tcPr>
            <w:tcW w:type="dxa" w:w="3389"/>
          </w:tcPr>
          <w:p>
            <w:r>
              <w:rPr>
                <w:rFonts w:ascii="Liberation Sans" w:hAnsi="Liberation Sans"/>
                <w:sz w:val="17"/>
              </w:rPr>
              <w:t>Новые требования нужно учитывать уже на стадии проектирования/ввода.</w:t>
            </w:r>
          </w:p>
        </w:tc>
      </w:tr>
      <w:tr>
        <w:trPr>
          <w:cantSplit/>
        </w:trPr>
        <w:tc>
          <w:tcPr>
            <w:tcW w:type="dxa" w:w="3389"/>
            <w:shd w:fill="F8F5F0"/>
          </w:tcPr>
          <w:p>
            <w:r>
              <w:rPr>
                <w:rFonts w:ascii="Liberation Sans" w:hAnsi="Liberation Sans"/>
                <w:sz w:val="17"/>
              </w:rPr>
              <w:t>Сложный пищевой процесс или детское питание</w:t>
            </w:r>
          </w:p>
        </w:tc>
        <w:tc>
          <w:tcPr>
            <w:tcW w:type="dxa" w:w="3389"/>
            <w:shd w:fill="F8F5F0"/>
          </w:tcPr>
          <w:p>
            <w:r>
              <w:rPr>
                <w:rFonts w:ascii="Liberation Sans" w:hAnsi="Liberation Sans"/>
                <w:sz w:val="17"/>
              </w:rPr>
              <w:t>Технолог общепита / специалист по пищевой безопасности</w:t>
            </w:r>
          </w:p>
        </w:tc>
        <w:tc>
          <w:tcPr>
            <w:tcW w:type="dxa" w:w="3389"/>
            <w:shd w:fill="F8F5F0"/>
          </w:tcPr>
          <w:p>
            <w:r>
              <w:rPr>
                <w:rFonts w:ascii="Liberation Sans" w:hAnsi="Liberation Sans"/>
                <w:sz w:val="17"/>
              </w:rPr>
              <w:t>Высокая цена ошибки и специальные требования.</w:t>
            </w:r>
          </w:p>
        </w:tc>
      </w:tr>
      <w:tr>
        <w:trPr>
          <w:cantSplit/>
        </w:trPr>
        <w:tc>
          <w:tcPr>
            <w:tcW w:type="dxa" w:w="3389"/>
          </w:tcPr>
          <w:p>
            <w:r>
              <w:rPr>
                <w:rFonts w:ascii="Liberation Sans" w:hAnsi="Liberation Sans"/>
                <w:sz w:val="17"/>
              </w:rPr>
              <w:t>Непонятно, какая статья ответственности применима</w:t>
            </w:r>
          </w:p>
        </w:tc>
        <w:tc>
          <w:tcPr>
            <w:tcW w:type="dxa" w:w="3389"/>
          </w:tcPr>
          <w:p>
            <w:r>
              <w:rPr>
                <w:rFonts w:ascii="Liberation Sans" w:hAnsi="Liberation Sans"/>
                <w:sz w:val="17"/>
              </w:rPr>
              <w:t>Юрист</w:t>
            </w:r>
          </w:p>
        </w:tc>
        <w:tc>
          <w:tcPr>
            <w:tcW w:type="dxa" w:w="3389"/>
          </w:tcPr>
          <w:p>
            <w:r>
              <w:rPr>
                <w:rFonts w:ascii="Liberation Sans" w:hAnsi="Liberation Sans"/>
                <w:sz w:val="17"/>
              </w:rPr>
              <w:t>Квалификация нарушения зависит от фактов и вида деятельности.</w:t>
            </w:r>
          </w:p>
        </w:tc>
      </w:tr>
    </w:tbl>
    <w:p>
      <w:pPr>
        <w:pStyle w:val="Heading1"/>
      </w:pPr>
      <w:r>
        <w:t>13. Ответственность: почему нельзя игнорировать</w:t>
      </w:r>
    </w:p>
    <w:p>
      <w:r>
        <w:t>Нарушение санитарных требований может квалифицироваться по общей или специальной норме КоАП РФ в зависимости от фактов. Для общепита, эксплуатации помещений и условий детей предусмотрены специальные составы. Универсальный размер штрафа для «нарушения новых правил» указывать некорректно.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Статья 6.3 КоАП РФ — общий состав по санитарно-эпидемиологическому благополучию населения.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Статья 6.4 КоАП РФ — нарушения требований к эксплуатации помещений, зданий, сооружений и транспорта.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Статья 6.6 КоАП РФ — нарушения требований к организации питания населения.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Статья 6.7 КоАП РФ — нарушения требований к условиям отдыха, оздоровления, воспитания и обучения детей.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/>
        </w:trPr>
        <w:tc>
          <w:tcPr>
            <w:tcW w:type="dxa" w:w="10166"/>
            <w:shd w:fill="FFF8ED"/>
            <w:tcBorders>
              <w:top w:val="single" w:sz="6" w:color="DDD8CF"/>
              <w:left w:val="single" w:sz="18" w:color="C86A21"/>
              <w:bottom w:val="single" w:sz="6" w:color="DDD8CF"/>
              <w:right w:val="single" w:sz="6" w:color="DDD8CF"/>
            </w:tcBorders>
          </w:tcPr>
          <w:p>
            <w:r>
              <w:rPr>
                <w:rFonts w:ascii="Liberation Sans" w:hAnsi="Liberation Sans"/>
                <w:b/>
                <w:color w:val="C86A21"/>
                <w:sz w:val="19"/>
              </w:rPr>
              <w:t>ПРАКТИЧЕСКИЙ ПРИНЦИП</w:t>
            </w:r>
          </w:p>
          <w:p>
            <w:pPr/>
            <w:r>
              <w:t>Цель подготовки к 1 сентября — не «избежать штрафа любой ценой», а убрать реальные санитарные риски и иметь доказуемую систему контроля. Формальная замена номера СП без фактической проверки объекта не решает задачу.</w:t>
            </w:r>
          </w:p>
        </w:tc>
      </w:tr>
    </w:tbl>
    <w:p>
      <w:pPr>
        <w:spacing w:after="20"/>
      </w:pPr>
    </w:p>
    <w:p>
      <w:pPr>
        <w:pStyle w:val="Heading1"/>
      </w:pPr>
      <w:r>
        <w:t>14. Что не надо делать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Не покупать оборудование и не начинать ремонт только потому, что вышла новая редакция санитарных правил.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Не переносить чужой чек-лист без проверки своей деятельности и помещения.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Не считать любой региональный пресс-релиз заменой официального текста правила.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Не использовать старые номера СП/СанПиН в новых документах после 1 сентября.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Не выдавать сценарные меры за обязательные требования, если конкретного пункта в применимом правиле нет.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Не считать, что все шесть правил одновременно применяются к одному малому бизнесу.</w:t>
      </w:r>
    </w:p>
    <w:p>
      <w:pPr>
        <w:pStyle w:val="Heading1"/>
      </w:pPr>
      <w:r>
        <w:t>15. Источники и фактчек</w:t>
      </w:r>
    </w:p>
    <w:p>
      <w:pPr>
        <w:pStyle w:val="Small"/>
      </w:pPr>
      <w:r>
        <w:rPr>
          <w:b/>
        </w:rPr>
        <w:t xml:space="preserve">Роспотребнадзор: федеральное сообщение о шести новых правилах: </w:t>
      </w:r>
      <w:hyperlink r:id="rId9">
        <w:r>
          <w:rPr>
            <w:color w:val="B08C54"/>
            <w:u w:val="single"/>
          </w:rPr>
          <w:t>https://zpp.rospotrebnadzor.ru/news/federal/575103</w:t>
        </w:r>
      </w:hyperlink>
    </w:p>
    <w:p>
      <w:pPr>
        <w:pStyle w:val="Small"/>
      </w:pPr>
      <w:r>
        <w:rPr>
          <w:b/>
        </w:rPr>
        <w:t xml:space="preserve">Постановление № 15 / СП 2.2.4285-26 — официальное опубликование: </w:t>
      </w:r>
      <w:hyperlink r:id="rId10">
        <w:r>
          <w:rPr>
            <w:color w:val="B08C54"/>
            <w:u w:val="single"/>
          </w:rPr>
          <w:t>http://publication.pravo.gov.ru/document/0001202606020080</w:t>
        </w:r>
      </w:hyperlink>
    </w:p>
    <w:p>
      <w:pPr>
        <w:pStyle w:val="Small"/>
      </w:pPr>
      <w:r>
        <w:rPr>
          <w:b/>
        </w:rPr>
        <w:t xml:space="preserve">Постановление № 16 / СП 2.5.4286-26 — официальное опубликование: </w:t>
      </w:r>
      <w:hyperlink r:id="rId11">
        <w:r>
          <w:rPr>
            <w:color w:val="B08C54"/>
            <w:u w:val="single"/>
          </w:rPr>
          <w:t>http://publication.pravo.gov.ru/document/0001202606020081</w:t>
        </w:r>
      </w:hyperlink>
    </w:p>
    <w:p>
      <w:pPr>
        <w:pStyle w:val="Small"/>
      </w:pPr>
      <w:r>
        <w:rPr>
          <w:b/>
        </w:rPr>
        <w:t xml:space="preserve">Постановление № 17 / СП 2.3.6.4281-26 — официальное опубликование: </w:t>
      </w:r>
      <w:hyperlink r:id="rId12">
        <w:r>
          <w:rPr>
            <w:color w:val="B08C54"/>
            <w:u w:val="single"/>
          </w:rPr>
          <w:t>http://publication.pravo.gov.ru/document/0001202606020079</w:t>
        </w:r>
      </w:hyperlink>
    </w:p>
    <w:p>
      <w:pPr>
        <w:pStyle w:val="Small"/>
      </w:pPr>
      <w:r>
        <w:rPr>
          <w:b/>
        </w:rPr>
        <w:t xml:space="preserve">Постановление № 18 / СанПиН 2.3/2.4.4282-26 — официальное опубликование: </w:t>
      </w:r>
      <w:hyperlink r:id="rId13">
        <w:r>
          <w:rPr>
            <w:color w:val="B08C54"/>
            <w:u w:val="single"/>
          </w:rPr>
          <w:t>http://publication.pravo.gov.ru/document/0001202606020084</w:t>
        </w:r>
      </w:hyperlink>
    </w:p>
    <w:p>
      <w:pPr>
        <w:pStyle w:val="Small"/>
      </w:pPr>
      <w:r>
        <w:rPr>
          <w:b/>
        </w:rPr>
        <w:t xml:space="preserve">Постановление № 19 / СП 2.4.2.4283-26 — официальное опубликование: </w:t>
      </w:r>
      <w:hyperlink r:id="rId14">
        <w:r>
          <w:rPr>
            <w:color w:val="B08C54"/>
            <w:u w:val="single"/>
          </w:rPr>
          <w:t>http://publication.pravo.gov.ru/document/0001202606020083</w:t>
        </w:r>
      </w:hyperlink>
    </w:p>
    <w:p>
      <w:pPr>
        <w:pStyle w:val="Small"/>
      </w:pPr>
      <w:r>
        <w:rPr>
          <w:b/>
        </w:rPr>
        <w:t xml:space="preserve">Постановление № 20 / СП 2.1.4284-26 — официальное опубликование: </w:t>
      </w:r>
      <w:hyperlink r:id="rId15">
        <w:r>
          <w:rPr>
            <w:color w:val="B08C54"/>
            <w:u w:val="single"/>
          </w:rPr>
          <w:t>http://publication.pravo.gov.ru/document/0001202606020088</w:t>
        </w:r>
      </w:hyperlink>
    </w:p>
    <w:p>
      <w:pPr>
        <w:pStyle w:val="Small"/>
      </w:pPr>
      <w:r>
        <w:rPr>
          <w:b/>
        </w:rPr>
        <w:t xml:space="preserve">Роспотребнадзор по Нижегородской области: условия труда: </w:t>
      </w:r>
      <w:hyperlink r:id="rId16">
        <w:r>
          <w:rPr>
            <w:color w:val="B08C54"/>
            <w:u w:val="single"/>
          </w:rPr>
          <w:t>https://52.rospotrebnadzor.ru/press-tsentr/press-relizy-2026/13135/</w:t>
        </w:r>
      </w:hyperlink>
    </w:p>
    <w:p>
      <w:pPr>
        <w:pStyle w:val="Small"/>
      </w:pPr>
      <w:r>
        <w:rPr>
          <w:b/>
        </w:rPr>
        <w:t xml:space="preserve">ГАРАНТ: обзор новых правил для услуг и помещений: </w:t>
      </w:r>
      <w:hyperlink r:id="rId17">
        <w:r>
          <w:rPr>
            <w:color w:val="B08C54"/>
            <w:u w:val="single"/>
          </w:rPr>
          <w:t>https://www.garant.ru/hotlaw/federal/2116371/</w:t>
        </w:r>
      </w:hyperlink>
    </w:p>
    <w:p>
      <w:pPr>
        <w:pStyle w:val="Small"/>
      </w:pPr>
      <w:r>
        <w:rPr>
          <w:b/>
        </w:rPr>
        <w:t xml:space="preserve">ГАРАНТ: обзор новых правил для продуктовой торговли: </w:t>
      </w:r>
      <w:hyperlink r:id="rId18">
        <w:r>
          <w:rPr>
            <w:color w:val="B08C54"/>
            <w:u w:val="single"/>
          </w:rPr>
          <w:t>https://www.garant.ru/hotlaw/federal/2116380/</w:t>
        </w:r>
      </w:hyperlink>
    </w:p>
    <w:p>
      <w:pPr>
        <w:pStyle w:val="Small"/>
      </w:pPr>
      <w:r>
        <w:rPr>
          <w:b/>
        </w:rPr>
        <w:t xml:space="preserve">ГАРАНТ: обзор нового СанПиН для общепита: </w:t>
      </w:r>
      <w:hyperlink r:id="rId19">
        <w:r>
          <w:rPr>
            <w:color w:val="B08C54"/>
            <w:u w:val="single"/>
          </w:rPr>
          <w:t>https://www.garant.ru/hotlaw/federal/2116408/</w:t>
        </w:r>
      </w:hyperlink>
    </w:p>
    <w:p>
      <w:pPr>
        <w:pStyle w:val="Small"/>
      </w:pPr>
      <w:r>
        <w:rPr>
          <w:b/>
        </w:rPr>
        <w:t xml:space="preserve">ГАРАНТ: обзор правил для транспорта: </w:t>
      </w:r>
      <w:hyperlink r:id="rId20">
        <w:r>
          <w:rPr>
            <w:color w:val="B08C54"/>
            <w:u w:val="single"/>
          </w:rPr>
          <w:t>https://www.garant.ru/hotlaw/federal/2116401/</w:t>
        </w:r>
      </w:hyperlink>
    </w:p>
    <w:p>
      <w:pPr>
        <w:pStyle w:val="Small"/>
      </w:pPr>
      <w:r>
        <w:rPr>
          <w:b/>
        </w:rPr>
        <w:t xml:space="preserve">ГАРАНТ: сравнительный анализ по детским организациям: </w:t>
      </w:r>
      <w:hyperlink r:id="rId21">
        <w:r>
          <w:rPr>
            <w:color w:val="B08C54"/>
            <w:u w:val="single"/>
          </w:rPr>
          <w:t>https://base.garant.ru/412610700/</w:t>
        </w:r>
      </w:hyperlink>
    </w:p>
    <w:p>
      <w:pPr>
        <w:pStyle w:val="Small"/>
      </w:pPr>
      <w:r>
        <w:rPr>
          <w:b/>
        </w:rPr>
        <w:t xml:space="preserve">КонсультантПлюс: КоАП РФ, ст. 6.3: </w:t>
      </w:r>
      <w:hyperlink r:id="rId22">
        <w:r>
          <w:rPr>
            <w:color w:val="B08C54"/>
            <w:u w:val="single"/>
          </w:rPr>
          <w:t>https://www.consultant.ru/document/cons_doc_LAW_34661/c967eb7a901005316559be99424c3a824dc426b0/</w:t>
        </w:r>
      </w:hyperlink>
    </w:p>
    <w:p>
      <w:pPr>
        <w:pStyle w:val="Small"/>
      </w:pPr>
      <w:r>
        <w:rPr>
          <w:b/>
        </w:rPr>
        <w:t xml:space="preserve">КонсультантПлюс: КоАП РФ, ст. 6.4: </w:t>
      </w:r>
      <w:hyperlink r:id="rId23">
        <w:r>
          <w:rPr>
            <w:color w:val="B08C54"/>
            <w:u w:val="single"/>
          </w:rPr>
          <w:t>https://www.consultant.ru/document/cons_doc_LAW_34661/0d733d8a9e018c4840564cff41afbe7d0776aa5b/</w:t>
        </w:r>
      </w:hyperlink>
    </w:p>
    <w:p>
      <w:pPr>
        <w:pStyle w:val="Small"/>
      </w:pPr>
      <w:r>
        <w:rPr>
          <w:b/>
        </w:rPr>
        <w:t xml:space="preserve">КонсультантПлюс: КоАП РФ, ст. 6.6: </w:t>
      </w:r>
      <w:hyperlink r:id="rId24">
        <w:r>
          <w:rPr>
            <w:color w:val="B08C54"/>
            <w:u w:val="single"/>
          </w:rPr>
          <w:t>https://www.consultant.ru/document/cons_doc_LAW_34661/dceffcf2617aa8cbad91f46398ce0beab3d0ea76/</w:t>
        </w:r>
      </w:hyperlink>
    </w:p>
    <w:p>
      <w:pPr>
        <w:pStyle w:val="Heading1"/>
      </w:pPr>
      <w:r>
        <w:t>16. Ограничения документа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Документ фиксирует состояние источников на 29 августа 2026 года.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Он не является постатейным сравнительным анализом всех шести старых и новых актов: там, где открытые источники не подтверждают конкретную разницу, материал не выдает ее за факт.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Чек-листы включают как обязательные направления проверки, так и пункты «по применимости». Конкретный набор зависит от деятельности, объекта и технологического процесса.</w:t>
      </w:r>
    </w:p>
    <w:p>
      <w:pPr>
        <w:ind w:left="0" w:hanging="173"/>
      </w:pPr>
      <w:r>
        <w:rPr>
          <w:b/>
          <w:color w:val="B08C54"/>
        </w:rPr>
        <w:t xml:space="preserve">• </w:t>
      </w:r>
      <w:r>
        <w:t>При противоречии обзора и официального текста применяется официальный нормативный акт.</w:t>
      </w:r>
    </w:p>
    <w:p/>
    <w:p>
      <w:pPr>
        <w:pStyle w:val="Small"/>
        <w:jc w:val="center"/>
      </w:pPr>
      <w:r>
        <w:t>БИЗНЕС ПОД МИКРОСКОПОМ • Разбираем. Анализируем. Объясняем. • Фактчек 29.08.2026</w:t>
      </w:r>
    </w:p>
    <w:sectPr w:rsidR="00FC693F" w:rsidRPr="0006063C" w:rsidSect="00034616"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Liberation Sans" w:hAnsi="Liberation Sans"/>
      <w:color w:val="0E1E3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6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0E1E3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0E1E3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B08C54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160"/>
      <w:contextualSpacing/>
    </w:pPr>
    <w:rPr>
      <w:rFonts w:asciiTheme="majorHAnsi" w:eastAsiaTheme="majorEastAsia" w:hAnsiTheme="majorHAnsi" w:cstheme="majorBidi" w:ascii="Liberation Serif" w:hAnsi="Liberation Serif"/>
      <w:b/>
      <w:color w:val="0E1E3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100"/>
    </w:pPr>
    <w:rPr>
      <w:rFonts w:ascii="Liberation Sans" w:hAnsi="Liberation Sans"/>
      <w:b/>
      <w:color w:val="C86A21"/>
      <w:sz w:val="17"/>
    </w:rPr>
  </w:style>
  <w:style w:type="paragraph" w:customStyle="1" w:styleId="Small">
    <w:name w:val="Small"/>
    <w:pPr>
      <w:spacing w:after="60"/>
    </w:pPr>
    <w:rPr>
      <w:rFonts w:ascii="Liberation Sans" w:hAnsi="Liberation Sans"/>
      <w:color w:val="697181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zpp.rospotrebnadzor.ru/news/federal/575103" TargetMode="External"/><Relationship Id="rId10" Type="http://schemas.openxmlformats.org/officeDocument/2006/relationships/hyperlink" Target="http://publication.pravo.gov.ru/document/0001202606020080" TargetMode="External"/><Relationship Id="rId11" Type="http://schemas.openxmlformats.org/officeDocument/2006/relationships/hyperlink" Target="http://publication.pravo.gov.ru/document/0001202606020081" TargetMode="External"/><Relationship Id="rId12" Type="http://schemas.openxmlformats.org/officeDocument/2006/relationships/hyperlink" Target="http://publication.pravo.gov.ru/document/0001202606020079" TargetMode="External"/><Relationship Id="rId13" Type="http://schemas.openxmlformats.org/officeDocument/2006/relationships/hyperlink" Target="http://publication.pravo.gov.ru/document/0001202606020084" TargetMode="External"/><Relationship Id="rId14" Type="http://schemas.openxmlformats.org/officeDocument/2006/relationships/hyperlink" Target="http://publication.pravo.gov.ru/document/0001202606020083" TargetMode="External"/><Relationship Id="rId15" Type="http://schemas.openxmlformats.org/officeDocument/2006/relationships/hyperlink" Target="http://publication.pravo.gov.ru/document/0001202606020088" TargetMode="External"/><Relationship Id="rId16" Type="http://schemas.openxmlformats.org/officeDocument/2006/relationships/hyperlink" Target="https://52.rospotrebnadzor.ru/press-tsentr/press-relizy-2026/13135/" TargetMode="External"/><Relationship Id="rId17" Type="http://schemas.openxmlformats.org/officeDocument/2006/relationships/hyperlink" Target="https://www.garant.ru/hotlaw/federal/2116371/" TargetMode="External"/><Relationship Id="rId18" Type="http://schemas.openxmlformats.org/officeDocument/2006/relationships/hyperlink" Target="https://www.garant.ru/hotlaw/federal/2116380/" TargetMode="External"/><Relationship Id="rId19" Type="http://schemas.openxmlformats.org/officeDocument/2006/relationships/hyperlink" Target="https://www.garant.ru/hotlaw/federal/2116408/" TargetMode="External"/><Relationship Id="rId20" Type="http://schemas.openxmlformats.org/officeDocument/2006/relationships/hyperlink" Target="https://www.garant.ru/hotlaw/federal/2116401/" TargetMode="External"/><Relationship Id="rId21" Type="http://schemas.openxmlformats.org/officeDocument/2006/relationships/hyperlink" Target="https://base.garant.ru/412610700/" TargetMode="External"/><Relationship Id="rId22" Type="http://schemas.openxmlformats.org/officeDocument/2006/relationships/hyperlink" Target="https://www.consultant.ru/document/cons_doc_LAW_34661/c967eb7a901005316559be99424c3a824dc426b0/" TargetMode="External"/><Relationship Id="rId23" Type="http://schemas.openxmlformats.org/officeDocument/2006/relationships/hyperlink" Target="https://www.consultant.ru/document/cons_doc_LAW_34661/0d733d8a9e018c4840564cff41afbe7d0776aa5b/" TargetMode="External"/><Relationship Id="rId24" Type="http://schemas.openxmlformats.org/officeDocument/2006/relationships/hyperlink" Target="https://www.consultant.ru/document/cons_doc_LAW_34661/dceffcf2617aa8cbad91f46398ce0beab3d0ea7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