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B58A3A"/>
          <w:sz w:val="18"/>
        </w:rPr>
        <w:t>БИЗНЕС ПОД МИКРОСКОПОМ  •  ПРОВАЛЫ И УРОКИ</w:t>
      </w:r>
    </w:p>
    <w:p>
      <w:pPr>
        <w:pStyle w:val="Title"/>
        <w:jc w:val="left"/>
      </w:pPr>
      <w:r>
        <w:t>PanClub: почему смена вывески и мультибренд не спасли бывшую Pandora в России</w:t>
      </w:r>
    </w:p>
    <w:p>
      <w:r>
        <w:rPr>
          <w:i/>
          <w:color w:val="5B6573"/>
          <w:sz w:val="22"/>
        </w:rPr>
        <w:t>Досье причин, подтверждённая хронология и применимые уроки для ритейла • фактчек 26.08.2026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10166"/>
            <w:shd w:fill="FFF2CC"/>
            <w:tcBorders>
              <w:top w:val="single" w:sz="8" w:color="B58A3A"/>
              <w:left w:val="single" w:sz="8" w:color="B58A3A"/>
              <w:bottom w:val="single" w:sz="8" w:color="B58A3A"/>
              <w:right w:val="single" w:sz="8" w:color="B58A3A"/>
              <w:insideH w:val="single" w:sz="8" w:color="B58A3A"/>
              <w:insideV w:val="single" w:sz="8" w:color="B58A3A"/>
            </w:tcBorders>
            <w:vAlign w:val="center"/>
          </w:tcPr>
          <w:p>
            <w:pPr>
              <w:spacing w:after="0"/>
            </w:pPr>
            <w:r>
              <w:rPr>
                <w:rFonts w:ascii="Georgia" w:hAnsi="Georgia"/>
                <w:b/>
                <w:color w:val="13263A"/>
                <w:sz w:val="22"/>
              </w:rPr>
              <w:t>Вердикт: ПРОВАЛ МОДЕЛИ ПОДТВЕРЖДЁН, НО ПРИЧИНА НЕ ОДНА</w:t>
              <w:br/>
            </w:r>
            <w:r>
              <w:rPr>
                <w:color w:val="13263A"/>
                <w:sz w:val="20"/>
              </w:rPr>
              <w:t>PanClub нельзя честно объяснить одной фразой «ушёл иностранный бренд». После остановки сотрудничества Pandora сеть действительно получила товарный и брендовый шок, но затем сохранила Pandora в ассортименте и перешла к мультибренду. Публичные данные показывают другое: новая концепция не восстановила прежний масштаб, а параллельно компания несла тяжёлый legacy-долговой контур. Ребрендинг дал способ продолжить торговлю, но не вернул финансовый манёвр.</w:t>
            </w:r>
          </w:p>
        </w:tc>
      </w:tr>
    </w:tbl>
    <w:p>
      <w:pPr>
        <w:spacing w:after="0"/>
      </w:pPr>
    </w:p>
    <w:p>
      <w:pPr>
        <w:pStyle w:val="Heading1"/>
      </w:pPr>
      <w:r>
        <w:t>1. Резюме для руководителя</w:t>
      </w:r>
    </w:p>
    <w:p>
      <w:r>
        <w:t>PanClub — бывшая российская сеть Pandora, управлявшаяся АО «Панклуб». Весной 2022 года Pandora приостановила деловые отношения с Россией. Судебные материалы, пересказанные деловыми СМИ, фиксировали дефицит товара после остановки поставок. В первой половине 2022 года продажи сети снизились на 41,6% до 1,7 млрд ₽, а доля рынка — с 2% до 1,1%.</w:t>
      </w:r>
    </w:p>
    <w:p>
      <w:r>
        <w:t>В апреле 2023 года компания не просто сменила вывеску: Pandora осталась в ассортименте, а сеть стала мультибрендовой и добавила более 15 ювелирных марок. Это была рациональная попытка диверсифицировать ассортимент, поэтому неправильно писать, что мультибренд «погубил» компанию.</w:t>
      </w:r>
    </w:p>
    <w:p>
      <w:r>
        <w:t>Проблема в том, что выручка продолжила снижаться: 3,01 млрд ₽ в 2022 году, 1,76 млрд ₽ в 2023-м, 1,16 млрд ₽ в 2024-м и 562,7 млн ₽ в 2025-м. От уровня 2021 года это падение примерно на 88%. Параллельно сеть сократилась с 94 магазинов на конец 2022 года до двух к июню 2026-го.</w:t>
      </w:r>
    </w:p>
    <w:p>
      <w:r>
        <w:t>Одновременно в балансе и вокруг компании существовал отдельный финансовый контур: многомиллиардная дебиторская задолженность к акционеру, кредитное требование Сбербанка свыше 4,5 млрд ₽ и требования других кредиторов. В октябре 2024 года введено наблюдение, 30 апреля 2025 года АО «Панклуб» признано банкротом.</w:t>
      </w:r>
    </w:p>
    <w:p>
      <w:r>
        <w:t>Управленческий урок: после потери якорного бренда нельзя ограничиваться новым названием и расширением ассортимента. Нужны три параллельных проекта — пересчитать экономику каждой точки, доказать способность нового ассортимента удержать спрос и одновременно реструктурировать старый долговой контур.</w:t>
      </w:r>
    </w:p>
    <w:p>
      <w:pPr>
        <w:pStyle w:val="Heading1"/>
      </w:pPr>
      <w:r>
        <w:t>2. Ключевые показатели кейса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2448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Показатель</w:t>
            </w:r>
          </w:p>
        </w:tc>
        <w:tc>
          <w:tcPr>
            <w:tcW w:type="dxa" w:w="3168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Факт</w:t>
            </w:r>
          </w:p>
        </w:tc>
        <w:tc>
          <w:tcPr>
            <w:tcW w:type="dxa" w:w="4320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Почему важен</w:t>
            </w:r>
          </w:p>
        </w:tc>
      </w:tr>
      <w:tr>
        <w:tc>
          <w:tcPr>
            <w:tcW w:type="dxa" w:w="244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Продажи H1 2022</w:t>
            </w:r>
          </w:p>
        </w:tc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1,7 млрд ₽; -41,6% г/г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Шок спроса/поставок начался до ребрендинга</w:t>
            </w:r>
          </w:p>
        </w:tc>
      </w:tr>
      <w:tr>
        <w:tc>
          <w:tcPr>
            <w:tcW w:type="dxa" w:w="244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Выручка 2021 → 2025</w:t>
            </w:r>
          </w:p>
        </w:tc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4,60 → 0,56 млрд ₽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Снижение примерно на 88%</w:t>
            </w:r>
          </w:p>
        </w:tc>
      </w:tr>
      <w:tr>
        <w:tc>
          <w:tcPr>
            <w:tcW w:type="dxa" w:w="244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Магазины</w:t>
            </w:r>
          </w:p>
        </w:tc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94 (конец 2022) → 2 (июнь 2026)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Федеральная сеть практически исчезла</w:t>
            </w:r>
          </w:p>
        </w:tc>
      </w:tr>
      <w:tr>
        <w:tc>
          <w:tcPr>
            <w:tcW w:type="dxa" w:w="244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Ребрендинг</w:t>
            </w:r>
          </w:p>
        </w:tc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Апрель 2023: Pandora + 15+ брендов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Попытка адаптации была содержательной, а не косметической</w:t>
            </w:r>
          </w:p>
        </w:tc>
      </w:tr>
      <w:tr>
        <w:tc>
          <w:tcPr>
            <w:tcW w:type="dxa" w:w="244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Наблюдение</w:t>
            </w:r>
          </w:p>
        </w:tc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02.10.2024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Кризис ликвидности перешёл в банкротный контур</w:t>
            </w:r>
          </w:p>
        </w:tc>
      </w:tr>
      <w:tr>
        <w:tc>
          <w:tcPr>
            <w:tcW w:type="dxa" w:w="244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Банкротство</w:t>
            </w:r>
          </w:p>
        </w:tc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30.04.2025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АО «Панклуб» признано несостоятельным</w:t>
            </w:r>
          </w:p>
        </w:tc>
      </w:tr>
      <w:tr>
        <w:tc>
          <w:tcPr>
            <w:tcW w:type="dxa" w:w="244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Требование Сбербанка</w:t>
            </w:r>
          </w:p>
        </w:tc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Свыше 4,5 млрд ₽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Финансовый риск был несопоставим с падающей выручкой</w:t>
            </w:r>
          </w:p>
        </w:tc>
      </w:tr>
    </w:tbl>
    <w:p>
      <w:pPr>
        <w:spacing w:after="0"/>
      </w:pPr>
    </w:p>
    <w:p>
      <w:pPr>
        <w:pStyle w:val="Heading1"/>
      </w:pPr>
      <w:r>
        <w:t>3. Подтверждённая хронология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1584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Период</w:t>
            </w:r>
          </w:p>
        </w:tc>
        <w:tc>
          <w:tcPr>
            <w:tcW w:type="dxa" w:w="4320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Что произошло</w:t>
            </w:r>
          </w:p>
        </w:tc>
        <w:tc>
          <w:tcPr>
            <w:tcW w:type="dxa" w:w="4320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Что менялось в модели</w:t>
            </w:r>
          </w:p>
        </w:tc>
      </w:tr>
      <w:tr>
        <w:tc>
          <w:tcPr>
            <w:tcW w:type="dxa" w:w="158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2014–2018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Внутригрупповой займ 8 млрд ₽, затем уступка требования на 8,84 млрд ₽ текущему акционеру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Формируется крупный legacy-финансовый актив, не связанный с продажами украшений</w:t>
            </w:r>
          </w:p>
        </w:tc>
      </w:tr>
      <w:tr>
        <w:tc>
          <w:tcPr>
            <w:tcW w:type="dxa" w:w="158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2021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Выручка около 4,6 млрд ₽, чистый убыток по открытой отчётности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До геополитического шока бизнес уже не был безусловно комфортным по итоговой прибыли</w:t>
            </w:r>
          </w:p>
        </w:tc>
      </w:tr>
      <w:tr>
        <w:tc>
          <w:tcPr>
            <w:tcW w:type="dxa" w:w="158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Весна–H1 2022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Pandora приостанавливает отношения с РФ; дефицит поставок; продажи H1 -41,6%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Ломается якорный продукт и привычная причина визита клиента</w:t>
            </w:r>
          </w:p>
        </w:tc>
      </w:tr>
      <w:tr>
        <w:tc>
          <w:tcPr>
            <w:tcW w:type="dxa" w:w="158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Конец 2022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Выручка 3,01 млрд ₽; 94 магазина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Сеть сохраняет крупный офлайн-контур при меньшем объёме бизнеса</w:t>
            </w:r>
          </w:p>
        </w:tc>
      </w:tr>
      <w:tr>
        <w:tc>
          <w:tcPr>
            <w:tcW w:type="dxa" w:w="158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Апрель 2023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Запуск PanClub: Pandora остаётся, добавляются 15+ брендов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Попытка заменить моно-бренд мультибрендом и расширить ценовые сегменты</w:t>
            </w:r>
          </w:p>
        </w:tc>
      </w:tr>
      <w:tr>
        <w:tc>
          <w:tcPr>
            <w:tcW w:type="dxa" w:w="158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2023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Выручка 1,76 млрд ₽; прибыль 76,5 млн ₽; к началу 2024 — 83 магазина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Масштаб продолжает падать, но бизнес ещё не выглядит юридически завершённым</w:t>
            </w:r>
          </w:p>
        </w:tc>
      </w:tr>
      <w:tr>
        <w:tc>
          <w:tcPr>
            <w:tcW w:type="dxa" w:w="158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2024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r>
              <w:t>Выручка около 1,16 млрд ₽; публичные источники расходятся по размеру чистого убытка; наблюдение с 02.10.2024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r>
              <w:t>Одновременно ухудшается операционный масштаб и усиливается creditor pressure; точный net result указывать только с источником</w:t>
            </w:r>
          </w:p>
        </w:tc>
      </w:tr>
      <w:tr>
        <w:tc>
          <w:tcPr>
            <w:tcW w:type="dxa" w:w="158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30.04.2025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АО «Панклуб» признано банкротом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Turnaround превращается в конкурсное производство</w:t>
            </w:r>
          </w:p>
        </w:tc>
      </w:tr>
      <w:tr>
        <w:tc>
          <w:tcPr>
            <w:tcW w:type="dxa" w:w="158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2025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Выручка 562,7 млн ₽; убыток -238,9 млн ₽; в ноябре 21 магазин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Сеть продолжает сжиматься уже в банкротном контуре</w:t>
            </w:r>
          </w:p>
        </w:tc>
      </w:tr>
      <w:tr>
        <w:tc>
          <w:tcPr>
            <w:tcW w:type="dxa" w:w="1584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Июнь 2026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Два магазина: Москва и Санкт-Петербург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Федеральная модель фактически прекращена</w:t>
            </w:r>
          </w:p>
        </w:tc>
      </w:tr>
    </w:tbl>
    <w:p>
      <w:pPr>
        <w:spacing w:after="0"/>
      </w:pPr>
    </w:p>
    <w:p>
      <w:pPr>
        <w:pStyle w:val="Heading1"/>
      </w:pPr>
      <w:r>
        <w:t>4. Причина №1. Потеря якорного бренда была не просто маркетинговой проблемой</w:t>
      </w:r>
    </w:p>
    <w:p>
      <w:r>
        <w:t>Для моно- или почти моно-брендовой сети якорный бренд одновременно выполняет четыре функции: создаёт трафик, задаёт ассортиментную архитектуру, удерживает ценовое позиционирование и снижает стоимость объяснения продукта покупателю. После остановки сотрудничества Pandora «Панклуб» столкнулся не только с необходимостью сменить вывеску, но и с дефицитом товара. Это означает, что shock затронул саму экономику витрины.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10166"/>
            <w:shd w:fill="E8EEF4"/>
            <w:tcBorders>
              <w:top w:val="single" w:sz="8" w:color="B58A3A"/>
              <w:left w:val="single" w:sz="8" w:color="B58A3A"/>
              <w:bottom w:val="single" w:sz="8" w:color="B58A3A"/>
              <w:right w:val="single" w:sz="8" w:color="B58A3A"/>
              <w:insideH w:val="single" w:sz="8" w:color="B58A3A"/>
              <w:insideV w:val="single" w:sz="8" w:color="B58A3A"/>
            </w:tcBorders>
            <w:vAlign w:val="center"/>
          </w:tcPr>
          <w:p>
            <w:pPr>
              <w:spacing w:after="0"/>
            </w:pPr>
            <w:r>
              <w:rPr>
                <w:rFonts w:ascii="Georgia" w:hAnsi="Georgia"/>
                <w:b/>
                <w:color w:val="13263A"/>
                <w:sz w:val="22"/>
              </w:rPr>
              <w:t>Важно</w:t>
              <w:br/>
            </w:r>
            <w:r>
              <w:rPr>
                <w:color w:val="13263A"/>
                <w:sz w:val="20"/>
              </w:rPr>
              <w:t>Pandora не исчезла из PanClub полностью. В 2023 году украшения Pandora оставались в ассортименте, а позже официальный сайт продолжал их продавать. Поэтому корректная формулировка — не «PanClub остался без Pandora», а «прежняя модель поставок и брендовой опоры была нарушена, и компания пыталась компенсировать это мультибрендом».</w:t>
            </w:r>
          </w:p>
        </w:tc>
      </w:tr>
    </w:tbl>
    <w:p>
      <w:pPr>
        <w:spacing w:after="0"/>
      </w:pPr>
    </w:p>
    <w:p>
      <w:pPr>
        <w:pStyle w:val="Heading1"/>
      </w:pPr>
      <w:r>
        <w:t>5. Причина №2. Мультибренд был логичным ответом, но его нужно было доказать цифрами</w:t>
      </w:r>
    </w:p>
    <w:p>
      <w:r>
        <w:t>В 2023 году PanClub добавил более 15 брендов и расширил ценовые сегменты. Само решение логично: оно уменьшает зависимость от одного поставщика. Однако количество брендов не равно восстановленному спросу. Для новой модели нужно отдельно доказать GMROI каждого бренда, sell-through, repeat rate, валовую маржу после скидок и способность нового ассортимента генерировать сопоставимый трафик.</w:t>
      </w:r>
    </w:p>
    <w:p>
      <w:r>
        <w:t>Эксперты рынка в 2026 году указывали, что локальные бренды пользовались меньшим спросом, чем Pandora, а логистические ограничения по Pandora сохранялись. Это экспертная оценка, а не доказательство единственной причины банкротства, но она согласуется с наблюдаемым сжатием выручки и сети.</w:t>
      </w:r>
    </w:p>
    <w:p>
      <w:pPr>
        <w:pStyle w:val="Heading1"/>
      </w:pPr>
      <w:r>
        <w:t>6. Причина №3. Розничная сеть сжималась медленнее, чем требовал новый масштаб бизнеса</w:t>
      </w:r>
    </w:p>
    <w:p>
      <w:r>
        <w:t>На конец 2022 года у сети было 94 магазина; на начало 2024-го — 83; на начало 2025-го — 34; в ноябре 2025-го — 21; к июню 2026-го — два. Само сокращение сети было правильным направлением, но историческая динамика показывает длительный процесс адаптации. Для ритейлера это критично: каждый месяц ожидания сохраняет аренду, payroll, запасы и локальные обязательства.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2592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Контроль</w:t>
            </w:r>
          </w:p>
        </w:tc>
        <w:tc>
          <w:tcPr>
            <w:tcW w:type="dxa" w:w="4608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Что считать</w:t>
            </w:r>
          </w:p>
        </w:tc>
        <w:tc>
          <w:tcPr>
            <w:tcW w:type="dxa" w:w="2880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RED-уровень</w:t>
            </w:r>
          </w:p>
        </w:tc>
      </w:tr>
      <w:tr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6"/>
              </w:rPr>
              <w:t>Four-wall contribution</w:t>
            </w:r>
          </w:p>
        </w:tc>
        <w:tc>
          <w:tcPr>
            <w:tcW w:type="dxa" w:w="460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6"/>
              </w:rPr>
              <w:t>Валовая прибыль магазина минус аренда, payroll и store opex</w:t>
            </w:r>
          </w:p>
        </w:tc>
        <w:tc>
          <w:tcPr>
            <w:tcW w:type="dxa" w:w="288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6"/>
              </w:rPr>
              <w:t>&lt;5% выручки два месяца подряд</w:t>
            </w:r>
          </w:p>
        </w:tc>
      </w:tr>
      <w:tr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6"/>
              </w:rPr>
              <w:t>Occupancy cost</w:t>
            </w:r>
          </w:p>
        </w:tc>
        <w:tc>
          <w:tcPr>
            <w:tcW w:type="dxa" w:w="460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6"/>
              </w:rPr>
              <w:t>Аренда + эксплуатация / выручка</w:t>
            </w:r>
          </w:p>
        </w:tc>
        <w:tc>
          <w:tcPr>
            <w:tcW w:type="dxa" w:w="288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6"/>
              </w:rPr>
              <w:t>&gt;18%</w:t>
            </w:r>
          </w:p>
        </w:tc>
      </w:tr>
      <w:tr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6"/>
              </w:rPr>
              <w:t>Aged inventory</w:t>
            </w:r>
          </w:p>
        </w:tc>
        <w:tc>
          <w:tcPr>
            <w:tcW w:type="dxa" w:w="460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6"/>
              </w:rPr>
              <w:t>Доля запасов старше 120 дней</w:t>
            </w:r>
          </w:p>
        </w:tc>
        <w:tc>
          <w:tcPr>
            <w:tcW w:type="dxa" w:w="288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6"/>
              </w:rPr>
              <w:t>&gt;30%</w:t>
            </w:r>
          </w:p>
        </w:tc>
      </w:tr>
      <w:tr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6"/>
              </w:rPr>
              <w:t>Replacement retention</w:t>
            </w:r>
          </w:p>
        </w:tc>
        <w:tc>
          <w:tcPr>
            <w:tcW w:type="dxa" w:w="460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6"/>
              </w:rPr>
              <w:t>Какая часть спроса якорного бренда удержана новым ассортиментом</w:t>
            </w:r>
          </w:p>
        </w:tc>
        <w:tc>
          <w:tcPr>
            <w:tcW w:type="dxa" w:w="288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6"/>
              </w:rPr>
              <w:t>&lt;50%</w:t>
            </w:r>
          </w:p>
        </w:tc>
      </w:tr>
    </w:tbl>
    <w:p>
      <w:pPr>
        <w:spacing w:after="0"/>
      </w:pPr>
    </w:p>
    <w:p>
      <w:pPr>
        <w:pStyle w:val="Heading1"/>
      </w:pPr>
      <w:r>
        <w:t>7. Причина №4. Операционный turnaround и старый баланс жили в разных реальностях</w:t>
      </w:r>
    </w:p>
    <w:p>
      <w:r>
        <w:t>Самый важный управленческий слой кейса — legacy-финансы. В 2014 году «Панклуб» выдал 8 млрд ₽ тогдашнему акционеру Trellas Enterprises, связанному со «Связным». В 2018 году право требования было уступлено текущему акционеру за 8,84 млрд ₽. В январе 2024 года российская компания выиграла иск к акционеру на эту сумму. Но судебно подтверждённая дебиторка — это не то же самое, что ликвидные деньги на аренду, зарплаты и закупку.</w:t>
      </w:r>
    </w:p>
    <w:p>
      <w:r>
        <w:t>Одновременно в банкротном деле требования Сбербанка превышали 4,5 млрд ₽; были и другие кредиторы. При выручке 2024 года около 1,16 млрд ₽ это означает, что реструктуризация баланса должна была идти не после восстановления продаж, а параллельно с ним.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10166"/>
            <w:shd w:fill="FFF2CC"/>
            <w:tcBorders>
              <w:top w:val="single" w:sz="8" w:color="B58A3A"/>
              <w:left w:val="single" w:sz="8" w:color="B58A3A"/>
              <w:bottom w:val="single" w:sz="8" w:color="B58A3A"/>
              <w:right w:val="single" w:sz="8" w:color="B58A3A"/>
              <w:insideH w:val="single" w:sz="8" w:color="B58A3A"/>
              <w:insideV w:val="single" w:sz="8" w:color="B58A3A"/>
            </w:tcBorders>
            <w:vAlign w:val="center"/>
          </w:tcPr>
          <w:p>
            <w:pPr>
              <w:spacing w:after="0"/>
            </w:pPr>
            <w:r>
              <w:rPr>
                <w:rFonts w:ascii="Georgia" w:hAnsi="Georgia"/>
                <w:b/>
                <w:color w:val="13263A"/>
                <w:sz w:val="22"/>
              </w:rPr>
              <w:t>Урок для малого бизнеса</w:t>
              <w:br/>
            </w:r>
            <w:r>
              <w:rPr>
                <w:color w:val="13263A"/>
                <w:sz w:val="20"/>
              </w:rPr>
              <w:t>Если долг/обязательства уже забирают значимую часть валовой прибыли, нельзя ставить план «сначала разгоним продажи, потом договоримся с кредиторами». При ухудшении спроса время становится главным активом, и standstill, haircut, отсрочка или замена капитала должны обсуждаться сразу.</w:t>
            </w:r>
          </w:p>
        </w:tc>
      </w:tr>
    </w:tbl>
    <w:p>
      <w:pPr>
        <w:spacing w:after="0"/>
      </w:pPr>
    </w:p>
    <w:p>
      <w:pPr>
        <w:pStyle w:val="Heading1"/>
      </w:pPr>
      <w:r>
        <w:t>8. Это был плохой рынок? Не только</w:t>
      </w:r>
    </w:p>
    <w:p>
      <w:r>
        <w:t>Рынок ювелирных изделий в рассматриваемый период был неоднородным. В денежном выражении 2024 год был сильным для крупнейших сетей; «Ведомости» со ссылкой на Infoline отмечали рост рынка и повышение концентрации у лидеров. В 2025 году Федеральная пробирная палата фиксировала снижение количества проданных золотых изделий на 8,7%, но серебро выросло в штуках, а online-категория украшений и часов росла быстрее общего e-commerce. Поэтому объяснять PanClub только общим «падением ювелирного рынка» нельзя.</w:t>
      </w:r>
    </w:p>
    <w:p>
      <w:pPr>
        <w:pStyle w:val="Heading1"/>
      </w:pPr>
      <w:r>
        <w:t>9. Карта причин: что подтверждено, а что остаётся гипотезой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c>
          <w:tcPr>
            <w:tcW w:type="dxa" w:w="3168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Фактор</w:t>
            </w:r>
          </w:p>
        </w:tc>
        <w:tc>
          <w:tcPr>
            <w:tcW w:type="dxa" w:w="2592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Оценка</w:t>
            </w:r>
          </w:p>
        </w:tc>
        <w:tc>
          <w:tcPr>
            <w:tcW w:type="dxa" w:w="4320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7"/>
              </w:rPr>
              <w:t>Основание</w:t>
            </w:r>
          </w:p>
        </w:tc>
      </w:tr>
      <w:tr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Шок поставок/бренда Pandora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ПОДТВЕРЖДЕНО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Судебные материалы и данные H1 2022</w:t>
            </w:r>
          </w:p>
        </w:tc>
      </w:tr>
      <w:tr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Недостаточное удержание спроса мультибрендом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СИЛЬНО ПОДДЕРЖИВАЕТСЯ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Выручка продолжала падать; экспертные оценки спроса</w:t>
            </w:r>
          </w:p>
        </w:tc>
      </w:tr>
      <w:tr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Слишком медленное сжатие сети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ПОДДЕРЖИВАЕТСЯ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Многолетняя траектория 94 → 83 → 34 → 21 → 2</w:t>
            </w:r>
          </w:p>
        </w:tc>
      </w:tr>
      <w:tr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Legacy-долг и ликвидность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ПОДТВЕРЖДЕНО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8,84 млрд ₽ дебиторки; &gt;4,5 млрд ₽ требования Сбербанка; банкротство</w:t>
            </w:r>
          </w:p>
        </w:tc>
      </w:tr>
      <w:tr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Сам мультибренд как причина банкротства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НЕ ДОКАЗАНО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Концепция могла быть правильной, но не компенсировала остальные факторы</w:t>
            </w:r>
          </w:p>
        </w:tc>
      </w:tr>
      <w:tr>
        <w:tc>
          <w:tcPr>
            <w:tcW w:type="dxa" w:w="31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Общий крах ювелирного рынка</w:t>
            </w:r>
          </w:p>
        </w:tc>
        <w:tc>
          <w:tcPr>
            <w:tcW w:type="dxa" w:w="259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ОПРОВЕРГАЕТСЯ КАК ЕДИНСТВЕННАЯ ПРИЧИНА</w:t>
            </w:r>
          </w:p>
        </w:tc>
        <w:tc>
          <w:tcPr>
            <w:tcW w:type="dxa" w:w="4320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7"/>
              </w:rPr>
              <w:t>Лидеры рынка росли; структура рынка менялась, но не обнулилась</w:t>
            </w:r>
          </w:p>
        </w:tc>
      </w:tr>
    </w:tbl>
    <w:p>
      <w:pPr>
        <w:spacing w:after="0"/>
      </w:pPr>
    </w:p>
    <w:p>
      <w:pPr>
        <w:pStyle w:val="Heading1"/>
      </w:pPr>
      <w:r>
        <w:t>10. Что можно было сделать раньше</w:t>
      </w:r>
    </w:p>
    <w:p>
      <w:r>
        <w:rPr>
          <w:b/>
        </w:rPr>
        <w:t xml:space="preserve">1. За 14 дней — cash war room. </w:t>
      </w:r>
      <w:r>
        <w:t>13-недельный cash-flow, заморозка CAPEX, отдельный список обязательств по каждой точке, переговоры с банком и арендодателями до просрочки.</w:t>
      </w:r>
    </w:p>
    <w:p>
      <w:r>
        <w:rPr>
          <w:b/>
        </w:rPr>
        <w:t xml:space="preserve">2. За 30 дней — четыре стены каждой точки. </w:t>
      </w:r>
      <w:r>
        <w:t>Рассчитать four-wall contribution, occupancy cost, aged stock и срок выхода из договора. Закрывать пакетом, а не по одному магазину после того, как cash уже потерян.</w:t>
      </w:r>
    </w:p>
    <w:p>
      <w:r>
        <w:rPr>
          <w:b/>
        </w:rPr>
        <w:t xml:space="preserve">3. За 45 дней — доказать replacement retention. </w:t>
      </w:r>
      <w:r>
        <w:t>Не измерять успех ребрендинга количеством новых брендов. Критерий — какая доля трафика, выручки и contribution якорного бренда реально заменена.</w:t>
      </w:r>
    </w:p>
    <w:p>
      <w:r>
        <w:rPr>
          <w:b/>
        </w:rPr>
        <w:t xml:space="preserve">4. За 60 дней — перестроить закупку. </w:t>
      </w:r>
      <w:r>
        <w:t>Consignment, smaller buys, жесткие open-to-buy лимиты и GMROI по брендам. Новый бренд без оборота не должен замораживать деньги в витрине.</w:t>
      </w:r>
    </w:p>
    <w:p>
      <w:r>
        <w:rPr>
          <w:b/>
        </w:rPr>
        <w:t xml:space="preserve">5. Параллельно — реструктурировать legacy balance. </w:t>
      </w:r>
      <w:r>
        <w:t>Отделить операционный план от возврата связанных долгов и кредиторских требований. Если баланс не лечится, хороший store turnaround не спасает юридическое лицо.</w:t>
      </w:r>
    </w:p>
    <w:p>
      <w:pPr>
        <w:pStyle w:val="Heading1"/>
      </w:pPr>
      <w:r>
        <w:t>11. Уроки для предпринимателя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c>
          <w:tcPr>
            <w:tcW w:type="dxa" w:w="3312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Урок</w:t>
            </w:r>
          </w:p>
        </w:tc>
        <w:tc>
          <w:tcPr>
            <w:tcW w:type="dxa" w:w="6768"/>
            <w:shd w:fill="13263A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Практическое правило</w:t>
            </w:r>
          </w:p>
        </w:tc>
      </w:tr>
      <w:tr>
        <w:tc>
          <w:tcPr>
            <w:tcW w:type="dxa" w:w="331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Бренд — концентрационный риск</w:t>
            </w:r>
          </w:p>
        </w:tc>
        <w:tc>
          <w:tcPr>
            <w:tcW w:type="dxa" w:w="67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Если top-1 бренд &gt;60% выручки, заранее иметь supplier/brand contingency plan</w:t>
            </w:r>
          </w:p>
        </w:tc>
      </w:tr>
      <w:tr>
        <w:tc>
          <w:tcPr>
            <w:tcW w:type="dxa" w:w="331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Ребрендинг не равен turnaround</w:t>
            </w:r>
          </w:p>
        </w:tc>
        <w:tc>
          <w:tcPr>
            <w:tcW w:type="dxa" w:w="67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Новая вывеска должна иметь KPI: traffic retention, GMROI, repeat, contribution</w:t>
            </w:r>
          </w:p>
        </w:tc>
      </w:tr>
      <w:tr>
        <w:tc>
          <w:tcPr>
            <w:tcW w:type="dxa" w:w="331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Сеть нужно резать до кассового разрыва</w:t>
            </w:r>
          </w:p>
        </w:tc>
        <w:tc>
          <w:tcPr>
            <w:tcW w:type="dxa" w:w="67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RED-store закрывается по заранее утверждённому gate, а не после эмоционального обсуждения</w:t>
            </w:r>
          </w:p>
        </w:tc>
      </w:tr>
      <w:tr>
        <w:tc>
          <w:tcPr>
            <w:tcW w:type="dxa" w:w="331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Дебиторка не равна cash</w:t>
            </w:r>
          </w:p>
        </w:tc>
        <w:tc>
          <w:tcPr>
            <w:tcW w:type="dxa" w:w="67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Крупное требование к акционеру/контрагенту haircut-ится при оценке ликвидности</w:t>
            </w:r>
          </w:p>
        </w:tc>
      </w:tr>
      <w:tr>
        <w:tc>
          <w:tcPr>
            <w:tcW w:type="dxa" w:w="331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Рынок нельзя использовать как универсальное оправдание</w:t>
            </w:r>
          </w:p>
        </w:tc>
        <w:tc>
          <w:tcPr>
            <w:tcW w:type="dxa" w:w="67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Сравнивать рост компании с рынком и лидерами: gap &gt;15 п.п. — внутренняя проблема модели</w:t>
            </w:r>
          </w:p>
        </w:tc>
      </w:tr>
      <w:tr>
        <w:tc>
          <w:tcPr>
            <w:tcW w:type="dxa" w:w="3312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Долг надо лечить одновременно с продажами</w:t>
            </w:r>
          </w:p>
        </w:tc>
        <w:tc>
          <w:tcPr>
            <w:tcW w:type="dxa" w:w="6768"/>
            <w:tcBorders>
              <w:top w:val="single" w:sz="4" w:color="D7DCE2"/>
              <w:left w:val="single" w:sz="4" w:color="D7DCE2"/>
              <w:bottom w:val="single" w:sz="4" w:color="D7DCE2"/>
              <w:right w:val="single" w:sz="4" w:color="D7DCE2"/>
              <w:insideH w:val="single" w:sz="4" w:color="D7DCE2"/>
              <w:insideV w:val="single" w:sz="4" w:color="D7DCE2"/>
            </w:tcBorders>
            <w:vAlign w:val="top"/>
          </w:tcPr>
          <w:p>
            <w:pPr>
              <w:spacing w:after="20" w:line="240" w:lineRule="auto"/>
            </w:pPr>
            <w:r>
              <w:rPr>
                <w:color w:val="13263A"/>
                <w:sz w:val="18"/>
              </w:rPr>
              <w:t>Debt service &gt;40% gross profit — crisis mode и реструктуризация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10166"/>
            <w:shd w:fill="E8EEF4"/>
            <w:tcBorders>
              <w:top w:val="single" w:sz="8" w:color="B58A3A"/>
              <w:left w:val="single" w:sz="8" w:color="B58A3A"/>
              <w:bottom w:val="single" w:sz="8" w:color="B58A3A"/>
              <w:right w:val="single" w:sz="8" w:color="B58A3A"/>
              <w:insideH w:val="single" w:sz="8" w:color="B58A3A"/>
              <w:insideV w:val="single" w:sz="8" w:color="B58A3A"/>
            </w:tcBorders>
            <w:vAlign w:val="center"/>
          </w:tcPr>
          <w:p>
            <w:pPr>
              <w:spacing w:after="0"/>
            </w:pPr>
            <w:r>
              <w:rPr>
                <w:rFonts w:ascii="Georgia" w:hAnsi="Georgia"/>
                <w:b/>
                <w:color w:val="13263A"/>
                <w:sz w:val="22"/>
              </w:rPr>
              <w:t>Итог</w:t>
              <w:br/>
            </w:r>
            <w:r>
              <w:rPr>
                <w:color w:val="13263A"/>
                <w:sz w:val="20"/>
              </w:rPr>
              <w:t>PanClub — полезный кейс не потому, что «иностранный бренд ушёл». Он показывает, как быстро брендовый/товарный шок превращается в проблему ликвидности, если новая модель ещё не доказана, сеть остаётся тяжёлой, а баланс несёт старые обязательства. Правильная последовательность: защитить cash → пересчитать точки → доказать replacement demand → реструктурировать долг → только потом масштабировать новый формат.</w:t>
            </w:r>
          </w:p>
        </w:tc>
      </w:tr>
    </w:tbl>
    <w:p>
      <w:pPr>
        <w:spacing w:after="0"/>
      </w:pPr>
    </w:p>
    <w:p>
      <w:r>
        <w:br w:type="page"/>
      </w:r>
    </w:p>
    <w:p>
      <w:pPr/>
      <w:r>
        <w:rPr>
          <w:b/>
        </w:rPr>
        <w:t xml:space="preserve">Примечание по финансовым данным 2023–2024. </w:t>
      </w:r>
      <w:r>
        <w:t>Публичные источники расходятся по строке чистой прибыли/убытка. «Ведомости» со ссылкой на СПАРК приводили +331 млн ₽ за 2023 год и −275 млн ₽ за 2024-й; другие открытые агрегаторы и Shopper’s — около +76,5 млн ₽ и −449,6 млн ₽ соответственно. Вывод досье не строится на одной спорной строке: направление кризиса подтверждают выручка, сокращение сети, кредиторские требования и банкротная процедура.</w:t>
      </w:r>
    </w:p>
    <w:p>
      <w:pPr>
        <w:pStyle w:val="Heading1"/>
      </w:pPr>
      <w:r>
        <w:t>Источники и границы фактчека</w:t>
      </w:r>
    </w:p>
    <w:p>
      <w:r>
        <w:t>Фактчек: 26 августа 2026 года. В основном тексте разделены подтверждённые факты, оценки участников рынка и аналитические выводы проекта. Финансовые показатели по РСБУ используются в source-specific виде; по чистому результату 2023–2024 публичные агрегаторы расходятся, поэтому причинный вывод на этой строке не строится.</w:t>
      </w:r>
    </w:p>
    <w:p>
      <w:pPr>
        <w:ind w:left="216" w:hanging="216"/>
      </w:pPr>
      <w:r>
        <w:rPr>
          <w:b/>
        </w:rPr>
        <w:t xml:space="preserve">• Ведомости, 14.04.2023 — </w:t>
      </w:r>
      <w:r>
        <w:t xml:space="preserve">Продажи H1 2022 -41,6%; доля рынка 2%→1,1%; дефицит товара после остановки поставок Pandora. </w:t>
      </w:r>
      <w:hyperlink r:id="rId9">
        <w:r>
          <w:rPr>
            <w:color w:val="315E8A"/>
            <w:u w:val="single"/>
          </w:rPr>
          <w:t>Открыть источник</w:t>
        </w:r>
      </w:hyperlink>
    </w:p>
    <w:p>
      <w:pPr>
        <w:ind w:left="216" w:hanging="216"/>
      </w:pPr>
      <w:r>
        <w:rPr>
          <w:b/>
        </w:rPr>
        <w:t xml:space="preserve">• RBC Life, 10.05.2023 — </w:t>
      </w:r>
      <w:r>
        <w:t xml:space="preserve">Переход к мультибренду: Pandora + более 15 брендов. </w:t>
      </w:r>
      <w:hyperlink r:id="rId10">
        <w:r>
          <w:rPr>
            <w:color w:val="315E8A"/>
            <w:u w:val="single"/>
          </w:rPr>
          <w:t>Открыть источник</w:t>
        </w:r>
      </w:hyperlink>
    </w:p>
    <w:p>
      <w:pPr>
        <w:ind w:left="216" w:hanging="216"/>
      </w:pPr>
      <w:r>
        <w:rPr>
          <w:b/>
        </w:rPr>
        <w:t xml:space="preserve">• Коммерсантъ, 06.07.2023 — </w:t>
      </w:r>
      <w:r>
        <w:t xml:space="preserve">История займа 8 млрд ₽ и требования 8,84 млрд ₽ к акционеру. </w:t>
      </w:r>
      <w:hyperlink r:id="rId11">
        <w:r>
          <w:rPr>
            <w:color w:val="315E8A"/>
            <w:u w:val="single"/>
          </w:rPr>
          <w:t>Открыть источник</w:t>
        </w:r>
      </w:hyperlink>
    </w:p>
    <w:p>
      <w:pPr>
        <w:ind w:left="216" w:hanging="216"/>
      </w:pPr>
      <w:r>
        <w:rPr>
          <w:b/>
        </w:rPr>
        <w:t xml:space="preserve">• Ведомости, 18.01.2024 — </w:t>
      </w:r>
      <w:r>
        <w:t xml:space="preserve">Суд удовлетворил иск на 8,84 млрд ₽; 2022 выручка 3 млрд ₽; 83 магазина на начало 2024. </w:t>
      </w:r>
      <w:hyperlink r:id="rId12">
        <w:r>
          <w:rPr>
            <w:color w:val="315E8A"/>
            <w:u w:val="single"/>
          </w:rPr>
          <w:t>Открыть источник</w:t>
        </w:r>
      </w:hyperlink>
    </w:p>
    <w:p>
      <w:pPr>
        <w:ind w:left="216" w:hanging="216"/>
      </w:pPr>
      <w:r>
        <w:rPr>
          <w:b/>
        </w:rPr>
        <w:t xml:space="preserve">• Коммерсантъ / публикация суда — </w:t>
      </w:r>
      <w:r>
        <w:t xml:space="preserve">02.10.2024: введено наблюдение по делу А40-160623/2024. </w:t>
      </w:r>
      <w:hyperlink r:id="rId13">
        <w:r>
          <w:rPr>
            <w:color w:val="315E8A"/>
            <w:u w:val="single"/>
          </w:rPr>
          <w:t>Открыть источник</w:t>
        </w:r>
      </w:hyperlink>
    </w:p>
    <w:p>
      <w:pPr>
        <w:ind w:left="216" w:hanging="216"/>
      </w:pPr>
      <w:r>
        <w:rPr>
          <w:b/>
        </w:rPr>
        <w:t xml:space="preserve">• Коммерсантъ, 05.05.2025 — </w:t>
      </w:r>
      <w:r>
        <w:t xml:space="preserve">30.04.2025 АО «Панклуб» признано банкротом, открыто конкурсное производство. </w:t>
      </w:r>
      <w:hyperlink r:id="rId14">
        <w:r>
          <w:rPr>
            <w:color w:val="315E8A"/>
            <w:u w:val="single"/>
          </w:rPr>
          <w:t>Открыть источник</w:t>
        </w:r>
      </w:hyperlink>
    </w:p>
    <w:p>
      <w:pPr>
        <w:ind w:left="216" w:hanging="216"/>
      </w:pPr>
      <w:r>
        <w:rPr>
          <w:b/>
        </w:rPr>
        <w:t xml:space="preserve">• РИА Новости, 05.05.2025 — </w:t>
      </w:r>
      <w:r>
        <w:t xml:space="preserve">В реестр включены обязательства перед Сбербанком свыше 4,5 млрд ₽. </w:t>
      </w:r>
      <w:hyperlink r:id="rId15">
        <w:r>
          <w:rPr>
            <w:color w:val="315E8A"/>
            <w:u w:val="single"/>
          </w:rPr>
          <w:t>Открыть источник</w:t>
        </w:r>
      </w:hyperlink>
    </w:p>
    <w:p>
      <w:pPr>
        <w:ind w:left="216" w:hanging="216"/>
      </w:pPr>
      <w:r>
        <w:rPr>
          <w:b/>
        </w:rPr>
        <w:t xml:space="preserve">• Ведомости, 05.05.2025 — </w:t>
      </w:r>
      <w:r>
        <w:t xml:space="preserve">34 магазина на начало 2025; рынок рос, PanClub снижался; известные кредиторы. </w:t>
      </w:r>
      <w:hyperlink r:id="rId16">
        <w:r>
          <w:rPr>
            <w:color w:val="315E8A"/>
            <w:u w:val="single"/>
          </w:rPr>
          <w:t>Открыть источник</w:t>
        </w:r>
      </w:hyperlink>
    </w:p>
    <w:p>
      <w:pPr>
        <w:ind w:left="216" w:hanging="216"/>
      </w:pPr>
      <w:r>
        <w:rPr>
          <w:b/>
        </w:rPr>
        <w:t xml:space="preserve">• T-Банк / бухгалтерская отчетность — </w:t>
      </w:r>
      <w:r>
        <w:t xml:space="preserve">2024: выручка 1,16 млрд ₽, убыток -449,64 млн ₽. </w:t>
      </w:r>
      <w:hyperlink r:id="rId17">
        <w:r>
          <w:rPr>
            <w:color w:val="315E8A"/>
            <w:u w:val="single"/>
          </w:rPr>
          <w:t>Открыть источник</w:t>
        </w:r>
      </w:hyperlink>
    </w:p>
    <w:p>
      <w:pPr>
        <w:ind w:left="216" w:hanging="216"/>
      </w:pPr>
      <w:r>
        <w:rPr>
          <w:b/>
        </w:rPr>
        <w:t xml:space="preserve">• Lenta / Rusprofile, 18.04.2026 — </w:t>
      </w:r>
      <w:r>
        <w:t xml:space="preserve">2025: выручка 562,7 млн ₽, убыток 238,8 млн ₽. </w:t>
      </w:r>
      <w:hyperlink r:id="rId18">
        <w:r>
          <w:rPr>
            <w:color w:val="315E8A"/>
            <w:u w:val="single"/>
          </w:rPr>
          <w:t>Открыть источник</w:t>
        </w:r>
      </w:hyperlink>
    </w:p>
    <w:p>
      <w:pPr>
        <w:ind w:left="216" w:hanging="216"/>
      </w:pPr>
      <w:r>
        <w:rPr>
          <w:b/>
        </w:rPr>
        <w:t xml:space="preserve">• Ведомости, 05.06.2026 — </w:t>
      </w:r>
      <w:r>
        <w:t xml:space="preserve">К июню 2026 осталось два магазина против 21 в ноябре 2025. </w:t>
      </w:r>
      <w:hyperlink r:id="rId19">
        <w:r>
          <w:rPr>
            <w:color w:val="315E8A"/>
            <w:u w:val="single"/>
          </w:rPr>
          <w:t>Открыть источник</w:t>
        </w:r>
      </w:hyperlink>
    </w:p>
    <w:p>
      <w:pPr>
        <w:ind w:left="216" w:hanging="216"/>
      </w:pPr>
      <w:r>
        <w:rPr>
          <w:b/>
        </w:rPr>
        <w:t xml:space="preserve">• Федеральная пробирная палата — </w:t>
      </w:r>
      <w:r>
        <w:t xml:space="preserve">Статистика рынка: 2024 рост в деньгах; 2025 снижение золотых изделий в штуках; рост online jewelry. </w:t>
      </w:r>
      <w:hyperlink r:id="rId20">
        <w:r>
          <w:rPr>
            <w:color w:val="315E8A"/>
            <w:u w:val="single"/>
          </w:rPr>
          <w:t>Открыть источник</w:t>
        </w:r>
      </w:hyperlink>
    </w:p>
    <w:p/>
    <w:sectPr w:rsidR="00FC693F" w:rsidRPr="0006063C" w:rsidSect="00034616">
      <w:pgSz w:w="12240" w:h="15840"/>
      <w:pgMar w:top="893" w:right="1037" w:bottom="893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326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 w:ascii="Georgia" w:hAnsi="Georgia"/>
      <w:b/>
      <w:bCs/>
      <w:color w:val="13263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Georgia" w:hAnsi="Georgia"/>
      <w:b/>
      <w:bCs/>
      <w:color w:val="13263A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Theme="majorHAnsi" w:eastAsiaTheme="majorEastAsia" w:hAnsiTheme="majorHAnsi" w:cstheme="majorBidi" w:ascii="Aptos" w:hAnsi="Aptos"/>
      <w:b/>
      <w:bCs/>
      <w:color w:val="B58A3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160"/>
      <w:contextualSpacing/>
    </w:pPr>
    <w:rPr>
      <w:rFonts w:asciiTheme="majorHAnsi" w:eastAsiaTheme="majorEastAsia" w:hAnsiTheme="majorHAnsi" w:cstheme="majorBidi" w:ascii="Georgia" w:hAnsi="Georgia"/>
      <w:b/>
      <w:color w:val="1326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vedomosti.ru/business/news/2023/04/14/970889-kommersant-planah-pandora" TargetMode="External"/><Relationship Id="rId10" Type="http://schemas.openxmlformats.org/officeDocument/2006/relationships/hyperlink" Target="https://www.rbc.ru/life/news/645ba8689a79473015c121ca" TargetMode="External"/><Relationship Id="rId11" Type="http://schemas.openxmlformats.org/officeDocument/2006/relationships/hyperlink" Target="https://www.kommersant.ru/doc/6084120" TargetMode="External"/><Relationship Id="rId12" Type="http://schemas.openxmlformats.org/officeDocument/2006/relationships/hyperlink" Target="https://www.vedomosti.ru/business/articles/2024/01/18/1015702-pandora-viigral-isk-kiprskomu-aktsioneru" TargetMode="External"/><Relationship Id="rId13" Type="http://schemas.openxmlformats.org/officeDocument/2006/relationships/hyperlink" Target="https://newpressa.pressa.ru/media/private/kommersant-subbota/2025/62-2025/raw_issue/kommersant-subbota-2025-62-2025.pdf" TargetMode="External"/><Relationship Id="rId14" Type="http://schemas.openxmlformats.org/officeDocument/2006/relationships/hyperlink" Target="https://www.kommersant.ru/doc/7696406" TargetMode="External"/><Relationship Id="rId15" Type="http://schemas.openxmlformats.org/officeDocument/2006/relationships/hyperlink" Target="https://ria.ru/20250505/pandora-2015054500.html" TargetMode="External"/><Relationship Id="rId16" Type="http://schemas.openxmlformats.org/officeDocument/2006/relationships/hyperlink" Target="https://www.vedomosti.ru/business/articles/2025/05/05/1108411-pandora-priznana-bankrotom" TargetMode="External"/><Relationship Id="rId17" Type="http://schemas.openxmlformats.org/officeDocument/2006/relationships/hyperlink" Target="https://www.tbank.ru/business/contractor/legal/1097746826429/" TargetMode="External"/><Relationship Id="rId18" Type="http://schemas.openxmlformats.org/officeDocument/2006/relationships/hyperlink" Target="https://lenta.ru/news/2026/04/18/rossiyskaya-dochka-pandora-zakryla-god-s-ubytkom-pochti-v-sotni-millionov-rubley/" TargetMode="External"/><Relationship Id="rId19" Type="http://schemas.openxmlformats.org/officeDocument/2006/relationships/hyperlink" Target="https://www.vedomosti.ru/business/articles/2026/06/05/1203301-set-panclub-zakrila-pochti-vse-svoi-magazini" TargetMode="External"/><Relationship Id="rId20" Type="http://schemas.openxmlformats.org/officeDocument/2006/relationships/hyperlink" Target="https://probpalata.gov.ru/statistics/retai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