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B58A3A"/>
          <w:sz w:val="18"/>
        </w:rPr>
        <w:t>БИЗНЕС ПОД МИКРОСКОПОМ  •  ПРОВАЛЫ И УРОКИ</w:t>
      </w:r>
    </w:p>
    <w:p>
      <w:pPr>
        <w:pStyle w:val="Title"/>
        <w:jc w:val="left"/>
      </w:pPr>
      <w:r>
        <w:t>PanClub: матрица устойчивости и антикризисный playbook</w:t>
      </w:r>
    </w:p>
    <w:p>
      <w:r>
        <w:rPr>
          <w:i/>
          <w:color w:val="5B6573"/>
          <w:sz w:val="22"/>
        </w:rPr>
        <w:t>Рабочий инструмент для ритейла после потери якорного бренда • 90-дневный план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10166"/>
            <w:shd w:fill="E8EEF4"/>
            <w:tcBorders>
              <w:top w:val="single" w:sz="8" w:color="B58A3A"/>
              <w:left w:val="single" w:sz="8" w:color="B58A3A"/>
              <w:bottom w:val="single" w:sz="8" w:color="B58A3A"/>
              <w:right w:val="single" w:sz="8" w:color="B58A3A"/>
              <w:insideH w:val="single" w:sz="8" w:color="B58A3A"/>
              <w:insideV w:val="single" w:sz="8" w:color="B58A3A"/>
            </w:tcBorders>
            <w:vAlign w:val="center"/>
          </w:tcPr>
          <w:p>
            <w:pPr>
              <w:spacing w:after="0"/>
            </w:pPr>
            <w:r>
              <w:rPr>
                <w:rFonts w:ascii="Georgia" w:hAnsi="Georgia"/>
                <w:b/>
                <w:color w:val="13263A"/>
                <w:sz w:val="22"/>
              </w:rPr>
              <w:t>Назначение</w:t>
              <w:br/>
            </w:r>
            <w:r>
              <w:rPr>
                <w:color w:val="13263A"/>
                <w:sz w:val="20"/>
              </w:rPr>
              <w:t>Этот файл не пытается «управлять PanClub задним числом». Он превращает уроки кейса в заполняемую систему для действующего бизнеса: ранние сигналы, decision gates, crisis cadence и план 30/60/90 дней.</w:t>
            </w:r>
          </w:p>
        </w:tc>
      </w:tr>
    </w:tbl>
    <w:p>
      <w:pPr>
        <w:spacing w:after="0"/>
      </w:pPr>
    </w:p>
    <w:p>
      <w:pPr>
        <w:pStyle w:val="Heading1"/>
      </w:pPr>
      <w:r>
        <w:t>1. Быстрая диагностика: включать crisis mode или нет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c>
          <w:tcPr>
            <w:tcW w:type="dxa" w:w="3168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Метрика</w:t>
            </w:r>
          </w:p>
        </w:tc>
        <w:tc>
          <w:tcPr>
            <w:tcW w:type="dxa" w:w="1800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GREEN</w:t>
            </w:r>
          </w:p>
        </w:tc>
        <w:tc>
          <w:tcPr>
            <w:tcW w:type="dxa" w:w="1800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YELLOW</w:t>
            </w:r>
          </w:p>
        </w:tc>
        <w:tc>
          <w:tcPr>
            <w:tcW w:type="dxa" w:w="1800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RED</w:t>
            </w:r>
          </w:p>
        </w:tc>
        <w:tc>
          <w:tcPr>
            <w:tcW w:type="dxa" w:w="3456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Что делать при RED</w:t>
            </w:r>
          </w:p>
        </w:tc>
      </w:tr>
      <w:tr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Продажи якорного бренда г/г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&gt;-5%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-5…-15%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&lt;-15%</w:t>
            </w:r>
          </w:p>
        </w:tc>
        <w:tc>
          <w:tcPr>
            <w:tcW w:type="dxa" w:w="3456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Freeze expansion, новый forecast</w:t>
            </w:r>
          </w:p>
        </w:tc>
      </w:tr>
      <w:tr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Stockout ключевых SKU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&lt;5%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5–15%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&gt;15%</w:t>
            </w:r>
          </w:p>
        </w:tc>
        <w:tc>
          <w:tcPr>
            <w:tcW w:type="dxa" w:w="3456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Альтернативные поставки / shrink footprint</w:t>
            </w:r>
          </w:p>
        </w:tc>
      </w:tr>
      <w:tr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Four-wall contribution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&gt;15%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5–15%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&lt;5%</w:t>
            </w:r>
          </w:p>
        </w:tc>
        <w:tc>
          <w:tcPr>
            <w:tcW w:type="dxa" w:w="3456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Rent renegotiation / closure</w:t>
            </w:r>
          </w:p>
        </w:tc>
      </w:tr>
      <w:tr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Occupancy cost / revenue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&lt;12%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12–18%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&gt;18%</w:t>
            </w:r>
          </w:p>
        </w:tc>
        <w:tc>
          <w:tcPr>
            <w:tcW w:type="dxa" w:w="3456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Переговоры по аренде или выход</w:t>
            </w:r>
          </w:p>
        </w:tc>
      </w:tr>
      <w:tr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Запасы &gt;120 дней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&lt;15%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15–30%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&gt;30%</w:t>
            </w:r>
          </w:p>
        </w:tc>
        <w:tc>
          <w:tcPr>
            <w:tcW w:type="dxa" w:w="3456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Markdown + высвобождение cash</w:t>
            </w:r>
          </w:p>
        </w:tc>
      </w:tr>
      <w:tr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Replacement retention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&gt;70%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50–70%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&lt;50%</w:t>
            </w:r>
          </w:p>
        </w:tc>
        <w:tc>
          <w:tcPr>
            <w:tcW w:type="dxa" w:w="3456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Остановить rollout новой концепции</w:t>
            </w:r>
          </w:p>
        </w:tc>
      </w:tr>
      <w:tr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Cash runway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&gt;12 мес.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6–12 мес.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&lt;6 мес.</w:t>
            </w:r>
          </w:p>
        </w:tc>
        <w:tc>
          <w:tcPr>
            <w:tcW w:type="dxa" w:w="3456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13-week cash + crisis committee</w:t>
            </w:r>
          </w:p>
        </w:tc>
      </w:tr>
      <w:tr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Debt service / gross profit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&lt;20%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20–40%</w:t>
            </w:r>
          </w:p>
        </w:tc>
        <w:tc>
          <w:tcPr>
            <w:tcW w:type="dxa" w:w="180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&gt;40%</w:t>
            </w:r>
          </w:p>
        </w:tc>
        <w:tc>
          <w:tcPr>
            <w:tcW w:type="dxa" w:w="3456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Standstill / реструктуризация</w:t>
            </w:r>
          </w:p>
        </w:tc>
      </w:tr>
    </w:tbl>
    <w:p>
      <w:pPr>
        <w:spacing w:after="0"/>
      </w:pPr>
    </w:p>
    <w:p>
      <w:pPr>
        <w:pStyle w:val="Heading1"/>
      </w:pPr>
      <w:r>
        <w:t>2. Матрица ЗАЩИЩАТЬ / ПЕРЕСТРАИВАТЬ / ВЫХОДИТЬ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c>
          <w:tcPr>
            <w:tcW w:type="dxa" w:w="2016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Объект</w:t>
            </w:r>
          </w:p>
        </w:tc>
        <w:tc>
          <w:tcPr>
            <w:tcW w:type="dxa" w:w="2592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ЗАЩИЩАТЬ</w:t>
            </w:r>
          </w:p>
        </w:tc>
        <w:tc>
          <w:tcPr>
            <w:tcW w:type="dxa" w:w="2592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ПЕРЕСТРАИВАТЬ</w:t>
            </w:r>
          </w:p>
        </w:tc>
        <w:tc>
          <w:tcPr>
            <w:tcW w:type="dxa" w:w="2592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ВЫХОДИТЬ</w:t>
            </w:r>
          </w:p>
        </w:tc>
        <w:tc>
          <w:tcPr>
            <w:tcW w:type="dxa" w:w="1440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Срок</w:t>
            </w:r>
          </w:p>
        </w:tc>
      </w:tr>
      <w:tr>
        <w:tc>
          <w:tcPr>
            <w:tcW w:type="dxa" w:w="2016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Магазин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Contribution &gt;15%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5–15%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&lt;5% 2 месяца</w:t>
            </w:r>
          </w:p>
        </w:tc>
        <w:tc>
          <w:tcPr>
            <w:tcW w:type="dxa" w:w="144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30 дней</w:t>
            </w:r>
          </w:p>
        </w:tc>
      </w:tr>
      <w:tr>
        <w:tc>
          <w:tcPr>
            <w:tcW w:type="dxa" w:w="2016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Бренд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GMROI выше target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70–100% target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&lt;70% target</w:t>
            </w:r>
          </w:p>
        </w:tc>
        <w:tc>
          <w:tcPr>
            <w:tcW w:type="dxa" w:w="144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60 дней</w:t>
            </w:r>
          </w:p>
        </w:tc>
      </w:tr>
      <w:tr>
        <w:tc>
          <w:tcPr>
            <w:tcW w:type="dxa" w:w="2016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Канал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Положительный contribution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Около нуля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Отрицательный 3 мес.</w:t>
            </w:r>
          </w:p>
        </w:tc>
        <w:tc>
          <w:tcPr>
            <w:tcW w:type="dxa" w:w="144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60 дней</w:t>
            </w:r>
          </w:p>
        </w:tc>
      </w:tr>
      <w:tr>
        <w:tc>
          <w:tcPr>
            <w:tcW w:type="dxa" w:w="2016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Долг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Debt service &lt;20% GP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20–40% GP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&gt;40% GP</w:t>
            </w:r>
          </w:p>
        </w:tc>
        <w:tc>
          <w:tcPr>
            <w:tcW w:type="dxa" w:w="144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Сейчас</w:t>
            </w:r>
          </w:p>
        </w:tc>
      </w:tr>
      <w:tr>
        <w:tc>
          <w:tcPr>
            <w:tcW w:type="dxa" w:w="2016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Сеть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Runway &gt;12 мес.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6–12 мес.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&lt;6 мес.</w:t>
            </w:r>
          </w:p>
        </w:tc>
        <w:tc>
          <w:tcPr>
            <w:tcW w:type="dxa" w:w="144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14 дней</w:t>
            </w:r>
          </w:p>
        </w:tc>
      </w:tr>
      <w:tr>
        <w:tc>
          <w:tcPr>
            <w:tcW w:type="dxa" w:w="2016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Rebrand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Retention &gt;70%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50–70%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&lt;50%</w:t>
            </w:r>
          </w:p>
        </w:tc>
        <w:tc>
          <w:tcPr>
            <w:tcW w:type="dxa" w:w="144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90 дней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3. War room: кто и что приносит каждый понедельник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2160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5040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Обязательный отчёт</w:t>
            </w:r>
          </w:p>
        </w:tc>
        <w:tc>
          <w:tcPr>
            <w:tcW w:type="dxa" w:w="3744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Решение недели</w:t>
            </w:r>
          </w:p>
        </w:tc>
      </w:tr>
      <w:tr>
        <w:tc>
          <w:tcPr>
            <w:tcW w:type="dxa" w:w="216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CEO / собственник</w:t>
            </w:r>
          </w:p>
        </w:tc>
        <w:tc>
          <w:tcPr>
            <w:tcW w:type="dxa" w:w="504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Cash runway, RED-gates, список решений без владельца</w:t>
            </w:r>
          </w:p>
        </w:tc>
        <w:tc>
          <w:tcPr>
            <w:tcW w:type="dxa" w:w="374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Что закрываем/защищаем</w:t>
            </w:r>
          </w:p>
        </w:tc>
      </w:tr>
      <w:tr>
        <w:tc>
          <w:tcPr>
            <w:tcW w:type="dxa" w:w="216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CFO</w:t>
            </w:r>
          </w:p>
        </w:tc>
        <w:tc>
          <w:tcPr>
            <w:tcW w:type="dxa" w:w="504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13-week cash, creditors, covenant/default calendar</w:t>
            </w:r>
          </w:p>
        </w:tc>
        <w:tc>
          <w:tcPr>
            <w:tcW w:type="dxa" w:w="374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Кому платим, с кем договариваемся</w:t>
            </w:r>
          </w:p>
        </w:tc>
      </w:tr>
      <w:tr>
        <w:tc>
          <w:tcPr>
            <w:tcW w:type="dxa" w:w="216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Retail</w:t>
            </w:r>
          </w:p>
        </w:tc>
        <w:tc>
          <w:tcPr>
            <w:tcW w:type="dxa" w:w="504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Four-wall P&amp;L по всем точкам, lease exits</w:t>
            </w:r>
          </w:p>
        </w:tc>
        <w:tc>
          <w:tcPr>
            <w:tcW w:type="dxa" w:w="374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Какие точки идут в переговоры/выход</w:t>
            </w:r>
          </w:p>
        </w:tc>
      </w:tr>
      <w:tr>
        <w:tc>
          <w:tcPr>
            <w:tcW w:type="dxa" w:w="216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Merchandising</w:t>
            </w:r>
          </w:p>
        </w:tc>
        <w:tc>
          <w:tcPr>
            <w:tcW w:type="dxa" w:w="504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GMROI, aged stock, sell-through по брендам</w:t>
            </w:r>
          </w:p>
        </w:tc>
        <w:tc>
          <w:tcPr>
            <w:tcW w:type="dxa" w:w="374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Что не закупаем и что распродаём</w:t>
            </w:r>
          </w:p>
        </w:tc>
      </w:tr>
      <w:tr>
        <w:tc>
          <w:tcPr>
            <w:tcW w:type="dxa" w:w="216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E-commerce/CRM</w:t>
            </w:r>
          </w:p>
        </w:tc>
        <w:tc>
          <w:tcPr>
            <w:tcW w:type="dxa" w:w="504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Traffic, conversion, repeat, replacement retention</w:t>
            </w:r>
          </w:p>
        </w:tc>
        <w:tc>
          <w:tcPr>
            <w:tcW w:type="dxa" w:w="374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Что реально удерживает клиента</w:t>
            </w:r>
          </w:p>
        </w:tc>
      </w:tr>
      <w:tr>
        <w:tc>
          <w:tcPr>
            <w:tcW w:type="dxa" w:w="216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Legal</w:t>
            </w:r>
          </w:p>
        </w:tc>
        <w:tc>
          <w:tcPr>
            <w:tcW w:type="dxa" w:w="504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Иски, просрочки, договорные окна выхода</w:t>
            </w:r>
          </w:p>
        </w:tc>
        <w:tc>
          <w:tcPr>
            <w:tcW w:type="dxa" w:w="374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Как не потерять cash из-за формальностей</w:t>
            </w:r>
          </w:p>
        </w:tc>
      </w:tr>
    </w:tbl>
    <w:p>
      <w:pPr>
        <w:spacing w:after="0"/>
      </w:pPr>
    </w:p>
    <w:p>
      <w:pPr>
        <w:pStyle w:val="Heading1"/>
      </w:pPr>
      <w:r>
        <w:t>4. План 0–30 дней: защитить деньги и перестать спорить с фактами</w:t>
      </w:r>
    </w:p>
    <w:p>
      <w:pPr>
        <w:pStyle w:val="ListBullet"/>
      </w:pPr>
      <w:r>
        <w:t>Собрать 13-недельный cash-flow с календарём аренды, зарплат, закупок, налогов и кредиторов.</w:t>
      </w:r>
    </w:p>
    <w:p>
      <w:pPr>
        <w:pStyle w:val="ListBullet"/>
      </w:pPr>
      <w:r>
        <w:t>Заморозить новый CAPEX и expansion, кроме обязательного compliance/safety.</w:t>
      </w:r>
    </w:p>
    <w:p>
      <w:pPr>
        <w:pStyle w:val="ListBullet"/>
      </w:pPr>
      <w:r>
        <w:t>Посчитать four-wall contribution каждой точки. Не распределять HQ так, чтобы скрыть реальную экономику магазина.</w:t>
      </w:r>
    </w:p>
    <w:p>
      <w:pPr>
        <w:pStyle w:val="ListBullet"/>
      </w:pPr>
      <w:r>
        <w:t>Составить inventory aging по SKU/бренду: 0–30 / 31–60 / 61–120 / &gt;120 дней.</w:t>
      </w:r>
    </w:p>
    <w:p>
      <w:pPr>
        <w:pStyle w:val="ListBullet"/>
      </w:pPr>
      <w:r>
        <w:t>Отдельно haircut-ить дебиторку: связанная/спорная/нерезидентная дебиторка не считается cash.</w:t>
      </w:r>
    </w:p>
    <w:p>
      <w:pPr>
        <w:pStyle w:val="ListBullet"/>
      </w:pPr>
      <w:r>
        <w:t>Назначить переговоры с top-10 кредиторами и top-10 арендодателями до возникновения нового default.</w:t>
      </w:r>
    </w:p>
    <w:p>
      <w:pPr>
        <w:pStyle w:val="ListBullet"/>
      </w:pPr>
      <w:r>
        <w:t>Ввести stop-buy для брендов с GMROI &lt;70% target до исправления.</w:t>
      </w:r>
    </w:p>
    <w:p>
      <w:pPr>
        <w:pStyle w:val="Heading1"/>
      </w:pPr>
      <w:r>
        <w:t>5. План 31–60 дней: перестроить сеть и ассортимент</w:t>
      </w:r>
    </w:p>
    <w:p>
      <w:pPr>
        <w:pStyle w:val="ListBullet"/>
      </w:pPr>
      <w:r>
        <w:t>Закрыть/передать/переформатировать RED-точки пакетно. Цель — убрать fixed cost раньше, чем он съест runway.</w:t>
      </w:r>
    </w:p>
    <w:p>
      <w:pPr>
        <w:pStyle w:val="ListBullet"/>
      </w:pPr>
      <w:r>
        <w:t>Перейти на меньшие закупочные партии и consignment там, где поставщик готов делить inventory risk.</w:t>
      </w:r>
    </w:p>
    <w:p>
      <w:pPr>
        <w:pStyle w:val="ListBullet"/>
      </w:pPr>
      <w:r>
        <w:t>По каждому новому бренду считать cohort: первая покупка → повтор → contribution → stock turn.</w:t>
      </w:r>
    </w:p>
    <w:p>
      <w:pPr>
        <w:pStyle w:val="ListBullet"/>
      </w:pPr>
      <w:r>
        <w:t>Сделать A/B-тест новой клиентской причины визита. «У нас больше брендов» — не value proposition.</w:t>
      </w:r>
    </w:p>
    <w:p>
      <w:pPr>
        <w:pStyle w:val="ListBullet"/>
      </w:pPr>
      <w:r>
        <w:t>Сопоставить online contribution с офлайном: online должен реально компенсировать потерю gross profit, а не только расти в процентах.</w:t>
      </w:r>
    </w:p>
    <w:p>
      <w:pPr>
        <w:pStyle w:val="ListBullet"/>
      </w:pPr>
      <w:r>
        <w:t>Подготовить два плана капитала: OPERATING TURNAROUND и BALANCE RESTRUCTURING. Не смешивать их.</w:t>
      </w:r>
    </w:p>
    <w:p>
      <w:pPr>
        <w:pStyle w:val="Heading1"/>
      </w:pPr>
      <w:r>
        <w:t>6. План 61–90 дней: gate новой модели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3312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Gate</w:t>
            </w:r>
          </w:p>
        </w:tc>
        <w:tc>
          <w:tcPr>
            <w:tcW w:type="dxa" w:w="2232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GO</w:t>
            </w:r>
          </w:p>
        </w:tc>
        <w:tc>
          <w:tcPr>
            <w:tcW w:type="dxa" w:w="2232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RECHECK</w:t>
            </w:r>
          </w:p>
        </w:tc>
        <w:tc>
          <w:tcPr>
            <w:tcW w:type="dxa" w:w="2232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STOP</w:t>
            </w:r>
          </w:p>
        </w:tc>
      </w:tr>
      <w:tr>
        <w:tc>
          <w:tcPr>
            <w:tcW w:type="dxa" w:w="331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Replacement retention</w:t>
            </w:r>
          </w:p>
        </w:tc>
        <w:tc>
          <w:tcPr>
            <w:tcW w:type="dxa" w:w="223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≥70%</w:t>
            </w:r>
          </w:p>
        </w:tc>
        <w:tc>
          <w:tcPr>
            <w:tcW w:type="dxa" w:w="223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50–70%</w:t>
            </w:r>
          </w:p>
        </w:tc>
        <w:tc>
          <w:tcPr>
            <w:tcW w:type="dxa" w:w="223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&lt;50%</w:t>
            </w:r>
          </w:p>
        </w:tc>
      </w:tr>
      <w:tr>
        <w:tc>
          <w:tcPr>
            <w:tcW w:type="dxa" w:w="331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Положительных магазинов</w:t>
            </w:r>
          </w:p>
        </w:tc>
        <w:tc>
          <w:tcPr>
            <w:tcW w:type="dxa" w:w="223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≥80% сети</w:t>
            </w:r>
          </w:p>
        </w:tc>
        <w:tc>
          <w:tcPr>
            <w:tcW w:type="dxa" w:w="223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60–80%</w:t>
            </w:r>
          </w:p>
        </w:tc>
        <w:tc>
          <w:tcPr>
            <w:tcW w:type="dxa" w:w="223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&lt;60%</w:t>
            </w:r>
          </w:p>
        </w:tc>
      </w:tr>
      <w:tr>
        <w:tc>
          <w:tcPr>
            <w:tcW w:type="dxa" w:w="331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Aged stock &gt;120 дней</w:t>
            </w:r>
          </w:p>
        </w:tc>
        <w:tc>
          <w:tcPr>
            <w:tcW w:type="dxa" w:w="223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&lt;15%</w:t>
            </w:r>
          </w:p>
        </w:tc>
        <w:tc>
          <w:tcPr>
            <w:tcW w:type="dxa" w:w="223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15–30%</w:t>
            </w:r>
          </w:p>
        </w:tc>
        <w:tc>
          <w:tcPr>
            <w:tcW w:type="dxa" w:w="223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&gt;30%</w:t>
            </w:r>
          </w:p>
        </w:tc>
      </w:tr>
      <w:tr>
        <w:tc>
          <w:tcPr>
            <w:tcW w:type="dxa" w:w="331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Cash runway после решений</w:t>
            </w:r>
          </w:p>
        </w:tc>
        <w:tc>
          <w:tcPr>
            <w:tcW w:type="dxa" w:w="223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&gt;12 мес.</w:t>
            </w:r>
          </w:p>
        </w:tc>
        <w:tc>
          <w:tcPr>
            <w:tcW w:type="dxa" w:w="223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6–12 мес.</w:t>
            </w:r>
          </w:p>
        </w:tc>
        <w:tc>
          <w:tcPr>
            <w:tcW w:type="dxa" w:w="223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&lt;6 мес.</w:t>
            </w:r>
          </w:p>
        </w:tc>
      </w:tr>
      <w:tr>
        <w:tc>
          <w:tcPr>
            <w:tcW w:type="dxa" w:w="331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Debt service / gross profit</w:t>
            </w:r>
          </w:p>
        </w:tc>
        <w:tc>
          <w:tcPr>
            <w:tcW w:type="dxa" w:w="223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&lt;20%</w:t>
            </w:r>
          </w:p>
        </w:tc>
        <w:tc>
          <w:tcPr>
            <w:tcW w:type="dxa" w:w="223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20–40%</w:t>
            </w:r>
          </w:p>
        </w:tc>
        <w:tc>
          <w:tcPr>
            <w:tcW w:type="dxa" w:w="223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&gt;40%</w:t>
            </w:r>
          </w:p>
        </w:tc>
      </w:tr>
      <w:tr>
        <w:tc>
          <w:tcPr>
            <w:tcW w:type="dxa" w:w="331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GMROI новых брендов</w:t>
            </w:r>
          </w:p>
        </w:tc>
        <w:tc>
          <w:tcPr>
            <w:tcW w:type="dxa" w:w="223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≥100% target</w:t>
            </w:r>
          </w:p>
        </w:tc>
        <w:tc>
          <w:tcPr>
            <w:tcW w:type="dxa" w:w="223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70–100%</w:t>
            </w:r>
          </w:p>
        </w:tc>
        <w:tc>
          <w:tcPr>
            <w:tcW w:type="dxa" w:w="223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&lt;70%</w:t>
            </w:r>
          </w:p>
        </w:tc>
      </w:tr>
    </w:tbl>
    <w:p>
      <w:pPr>
        <w:spacing w:after="0"/>
      </w:pPr>
    </w:p>
    <w:p>
      <w:pPr>
        <w:pStyle w:val="Heading1"/>
      </w:pPr>
      <w:r>
        <w:t>7. Карточка решения по магазину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4320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5760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Заполнить</w:t>
            </w:r>
          </w:p>
        </w:tc>
      </w:tr>
      <w:tr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Магазин / город</w:t>
            </w:r>
          </w:p>
        </w:tc>
        <w:tc>
          <w:tcPr>
            <w:tcW w:type="dxa" w:w="576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  <w:tr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Выручка 30 дней</w:t>
            </w:r>
          </w:p>
        </w:tc>
        <w:tc>
          <w:tcPr>
            <w:tcW w:type="dxa" w:w="576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  <w:tr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Валовая прибыль</w:t>
            </w:r>
          </w:p>
        </w:tc>
        <w:tc>
          <w:tcPr>
            <w:tcW w:type="dxa" w:w="576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  <w:tr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Аренда + эксплуатация</w:t>
            </w:r>
          </w:p>
        </w:tc>
        <w:tc>
          <w:tcPr>
            <w:tcW w:type="dxa" w:w="576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  <w:tr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Payroll</w:t>
            </w:r>
          </w:p>
        </w:tc>
        <w:tc>
          <w:tcPr>
            <w:tcW w:type="dxa" w:w="576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  <w:tr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Прочие store opex</w:t>
            </w:r>
          </w:p>
        </w:tc>
        <w:tc>
          <w:tcPr>
            <w:tcW w:type="dxa" w:w="576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  <w:tr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Four-wall contribution</w:t>
            </w:r>
          </w:p>
        </w:tc>
        <w:tc>
          <w:tcPr>
            <w:tcW w:type="dxa" w:w="576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  <w:tr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Aged stock &gt;120 дней</w:t>
            </w:r>
          </w:p>
        </w:tc>
        <w:tc>
          <w:tcPr>
            <w:tcW w:type="dxa" w:w="576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  <w:tr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Дата выхода из аренды</w:t>
            </w:r>
          </w:p>
        </w:tc>
        <w:tc>
          <w:tcPr>
            <w:tcW w:type="dxa" w:w="576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  <w:tr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Стоимость закрытия</w:t>
            </w:r>
          </w:p>
        </w:tc>
        <w:tc>
          <w:tcPr>
            <w:tcW w:type="dxa" w:w="576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  <w:tr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Решение</w:t>
            </w:r>
          </w:p>
        </w:tc>
        <w:tc>
          <w:tcPr>
            <w:tcW w:type="dxa" w:w="576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ЗАЩИЩАТЬ / ПЕРЕСТРАИВАТЬ / ВЫХОДИТЬ</w:t>
            </w:r>
          </w:p>
        </w:tc>
      </w:tr>
      <w:tr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Владелец решения</w:t>
            </w:r>
          </w:p>
        </w:tc>
        <w:tc>
          <w:tcPr>
            <w:tcW w:type="dxa" w:w="576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  <w:tr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Дата контрольной точки</w:t>
            </w:r>
          </w:p>
        </w:tc>
        <w:tc>
          <w:tcPr>
            <w:tcW w:type="dxa" w:w="576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8. Карточка нового бренда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3744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Метрика</w:t>
            </w:r>
          </w:p>
        </w:tc>
        <w:tc>
          <w:tcPr>
            <w:tcW w:type="dxa" w:w="1872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План</w:t>
            </w:r>
          </w:p>
        </w:tc>
        <w:tc>
          <w:tcPr>
            <w:tcW w:type="dxa" w:w="1872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Факт</w:t>
            </w:r>
          </w:p>
        </w:tc>
        <w:tc>
          <w:tcPr>
            <w:tcW w:type="dxa" w:w="2592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Gate</w:t>
            </w:r>
          </w:p>
        </w:tc>
      </w:tr>
      <w:tr>
        <w:tc>
          <w:tcPr>
            <w:tcW w:type="dxa" w:w="374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GMROI</w:t>
            </w:r>
          </w:p>
        </w:tc>
        <w:tc>
          <w:tcPr>
            <w:tcW w:type="dxa" w:w="187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  <w:tc>
          <w:tcPr>
            <w:tcW w:type="dxa" w:w="187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  <w:tr>
        <w:tc>
          <w:tcPr>
            <w:tcW w:type="dxa" w:w="374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Sell-through 30/60/90</w:t>
            </w:r>
          </w:p>
        </w:tc>
        <w:tc>
          <w:tcPr>
            <w:tcW w:type="dxa" w:w="187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  <w:tc>
          <w:tcPr>
            <w:tcW w:type="dxa" w:w="187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  <w:tr>
        <w:tc>
          <w:tcPr>
            <w:tcW w:type="dxa" w:w="374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Gross margin after markdown</w:t>
            </w:r>
          </w:p>
        </w:tc>
        <w:tc>
          <w:tcPr>
            <w:tcW w:type="dxa" w:w="187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  <w:tc>
          <w:tcPr>
            <w:tcW w:type="dxa" w:w="187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  <w:tr>
        <w:tc>
          <w:tcPr>
            <w:tcW w:type="dxa" w:w="374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Repeat rate</w:t>
            </w:r>
          </w:p>
        </w:tc>
        <w:tc>
          <w:tcPr>
            <w:tcW w:type="dxa" w:w="187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  <w:tc>
          <w:tcPr>
            <w:tcW w:type="dxa" w:w="187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  <w:tr>
        <w:tc>
          <w:tcPr>
            <w:tcW w:type="dxa" w:w="374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Traffic contribution</w:t>
            </w:r>
          </w:p>
        </w:tc>
        <w:tc>
          <w:tcPr>
            <w:tcW w:type="dxa" w:w="187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  <w:tc>
          <w:tcPr>
            <w:tcW w:type="dxa" w:w="187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  <w:tr>
        <w:tc>
          <w:tcPr>
            <w:tcW w:type="dxa" w:w="374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Average ticket</w:t>
            </w:r>
          </w:p>
        </w:tc>
        <w:tc>
          <w:tcPr>
            <w:tcW w:type="dxa" w:w="187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  <w:tc>
          <w:tcPr>
            <w:tcW w:type="dxa" w:w="187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  <w:tr>
        <w:tc>
          <w:tcPr>
            <w:tcW w:type="dxa" w:w="374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Inventory days</w:t>
            </w:r>
          </w:p>
        </w:tc>
        <w:tc>
          <w:tcPr>
            <w:tcW w:type="dxa" w:w="187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  <w:tc>
          <w:tcPr>
            <w:tcW w:type="dxa" w:w="187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  <w:tr>
        <w:tc>
          <w:tcPr>
            <w:tcW w:type="dxa" w:w="374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Replacement retention</w:t>
            </w:r>
          </w:p>
        </w:tc>
        <w:tc>
          <w:tcPr>
            <w:tcW w:type="dxa" w:w="187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  <w:tc>
          <w:tcPr>
            <w:tcW w:type="dxa" w:w="187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9. Stop-conditions для собственника</w:t>
      </w:r>
    </w:p>
    <w:p>
      <w:pPr>
        <w:pStyle w:val="ListBullet"/>
      </w:pPr>
      <w:r>
        <w:t>Не инвестировать в обновление всей сети, пока пилот новой концепции не удерживает минимум 50–70% потерянной выручки.</w:t>
      </w:r>
    </w:p>
    <w:p>
      <w:pPr>
        <w:pStyle w:val="ListBullet"/>
      </w:pPr>
      <w:r>
        <w:t>Не считать дебиторскую задолженность денежным резервом без оценки срока и вероятности взыскания.</w:t>
      </w:r>
    </w:p>
    <w:p>
      <w:pPr>
        <w:pStyle w:val="ListBullet"/>
      </w:pPr>
      <w:r>
        <w:t>Не оставлять магазин «ради бренда», если он два месяца не покрывает собственные fixed costs.</w:t>
      </w:r>
    </w:p>
    <w:p>
      <w:pPr>
        <w:pStyle w:val="ListBullet"/>
      </w:pPr>
      <w:r>
        <w:t>Не наращивать ассортимент бренда, который не проходит GMROI и inventory-turn gate.</w:t>
      </w:r>
    </w:p>
    <w:p>
      <w:pPr>
        <w:pStyle w:val="ListBullet"/>
      </w:pPr>
      <w:r>
        <w:t>Не откладывать переговоры по долгу до момента default, если debt service уже превышает 40% gross profit.</w:t>
      </w:r>
    </w:p>
    <w:p>
      <w:pPr>
        <w:pStyle w:val="ListBullet"/>
      </w:pPr>
      <w:r>
        <w:t>Не объяснять отставание только рынком, если компания отстаёт от рынка/лидеров более чем на 15 п.п.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10166"/>
            <w:shd w:fill="FFF2CC"/>
            <w:tcBorders>
              <w:top w:val="single" w:sz="8" w:color="B58A3A"/>
              <w:left w:val="single" w:sz="8" w:color="B58A3A"/>
              <w:bottom w:val="single" w:sz="8" w:color="B58A3A"/>
              <w:right w:val="single" w:sz="8" w:color="B58A3A"/>
              <w:insideH w:val="single" w:sz="8" w:color="B58A3A"/>
              <w:insideV w:val="single" w:sz="8" w:color="B58A3A"/>
            </w:tcBorders>
            <w:vAlign w:val="center"/>
          </w:tcPr>
          <w:p>
            <w:pPr>
              <w:spacing w:after="0"/>
            </w:pPr>
            <w:r>
              <w:rPr>
                <w:rFonts w:ascii="Georgia" w:hAnsi="Georgia"/>
                <w:b/>
                <w:color w:val="13263A"/>
                <w:sz w:val="22"/>
              </w:rPr>
              <w:t>Финальный принцип</w:t>
              <w:br/>
            </w:r>
            <w:r>
              <w:rPr>
                <w:color w:val="13263A"/>
                <w:sz w:val="20"/>
              </w:rPr>
              <w:t>Сильный turnaround — это не презентация новой концепции. Это заранее заданные цифры, при которых бизнес имеет право продолжать эксперимент, и цифры, при которых он обязан сокращать сеть, продавать запас, менять договоры и реструктурировать долг.</w:t>
            </w:r>
          </w:p>
        </w:tc>
      </w:tr>
    </w:tbl>
    <w:p>
      <w:pPr>
        <w:spacing w:after="0"/>
      </w:pPr>
    </w:p>
    <w:p>
      <w:r>
        <w:rPr>
          <w:b/>
        </w:rPr>
        <w:t xml:space="preserve">• Ведомости, 14.04.2023 — </w:t>
      </w:r>
      <w:r>
        <w:t xml:space="preserve">Продажи H1 2022 -41,6%; доля рынка 2%→1,1%; дефицит товара после остановки поставок Pandora. </w:t>
      </w:r>
      <w:hyperlink r:id="rId9">
        <w:r>
          <w:rPr>
            <w:color w:val="315E8A"/>
            <w:u w:val="single"/>
          </w:rPr>
          <w:t>Источник</w:t>
        </w:r>
      </w:hyperlink>
    </w:p>
    <w:p>
      <w:r>
        <w:rPr>
          <w:b/>
        </w:rPr>
        <w:t xml:space="preserve">• RBC Life, 10.05.2023 — </w:t>
      </w:r>
      <w:r>
        <w:t xml:space="preserve">Переход к мультибренду: Pandora + более 15 брендов. </w:t>
      </w:r>
      <w:hyperlink r:id="rId10">
        <w:r>
          <w:rPr>
            <w:color w:val="315E8A"/>
            <w:u w:val="single"/>
          </w:rPr>
          <w:t>Источник</w:t>
        </w:r>
      </w:hyperlink>
    </w:p>
    <w:p>
      <w:r>
        <w:rPr>
          <w:b/>
        </w:rPr>
        <w:t xml:space="preserve">• Коммерсантъ, 06.07.2023 — </w:t>
      </w:r>
      <w:r>
        <w:t xml:space="preserve">История займа 8 млрд ₽ и требования 8,84 млрд ₽ к акционеру. </w:t>
      </w:r>
      <w:hyperlink r:id="rId11">
        <w:r>
          <w:rPr>
            <w:color w:val="315E8A"/>
            <w:u w:val="single"/>
          </w:rPr>
          <w:t>Источник</w:t>
        </w:r>
      </w:hyperlink>
    </w:p>
    <w:p>
      <w:r>
        <w:rPr>
          <w:b/>
        </w:rPr>
        <w:t xml:space="preserve">• Ведомости, 18.01.2024 — </w:t>
      </w:r>
      <w:r>
        <w:t xml:space="preserve">Суд удовлетворил иск на 8,84 млрд ₽; 2022 выручка 3 млрд ₽; 83 магазина на начало 2024. </w:t>
      </w:r>
      <w:hyperlink r:id="rId12">
        <w:r>
          <w:rPr>
            <w:color w:val="315E8A"/>
            <w:u w:val="single"/>
          </w:rPr>
          <w:t>Источник</w:t>
        </w:r>
      </w:hyperlink>
    </w:p>
    <w:p>
      <w:r>
        <w:rPr>
          <w:b/>
        </w:rPr>
        <w:t xml:space="preserve">• Коммерсантъ / публикация суда — </w:t>
      </w:r>
      <w:r>
        <w:t xml:space="preserve">02.10.2024: введено наблюдение по делу А40-160623/2024. </w:t>
      </w:r>
      <w:hyperlink r:id="rId13">
        <w:r>
          <w:rPr>
            <w:color w:val="315E8A"/>
            <w:u w:val="single"/>
          </w:rPr>
          <w:t>Источник</w:t>
        </w:r>
      </w:hyperlink>
    </w:p>
    <w:p>
      <w:r>
        <w:rPr>
          <w:b/>
        </w:rPr>
        <w:t xml:space="preserve">• Коммерсантъ, 05.05.2025 — </w:t>
      </w:r>
      <w:r>
        <w:t xml:space="preserve">30.04.2025 АО «Панклуб» признано банкротом, открыто конкурсное производство. </w:t>
      </w:r>
      <w:hyperlink r:id="rId14">
        <w:r>
          <w:rPr>
            <w:color w:val="315E8A"/>
            <w:u w:val="single"/>
          </w:rPr>
          <w:t>Источник</w:t>
        </w:r>
      </w:hyperlink>
    </w:p>
    <w:p>
      <w:r>
        <w:rPr>
          <w:b/>
        </w:rPr>
        <w:t xml:space="preserve">• РИА Новости, 05.05.2025 — </w:t>
      </w:r>
      <w:r>
        <w:t xml:space="preserve">В реестр включены обязательства перед Сбербанком свыше 4,5 млрд ₽. </w:t>
      </w:r>
      <w:hyperlink r:id="rId15">
        <w:r>
          <w:rPr>
            <w:color w:val="315E8A"/>
            <w:u w:val="single"/>
          </w:rPr>
          <w:t>Источник</w:t>
        </w:r>
      </w:hyperlink>
    </w:p>
    <w:p>
      <w:r>
        <w:rPr>
          <w:b/>
        </w:rPr>
        <w:t xml:space="preserve">• Ведомости, 05.05.2025 — </w:t>
      </w:r>
      <w:r>
        <w:t xml:space="preserve">34 магазина на начало 2025; рынок рос, PanClub снижался; известные кредиторы. </w:t>
      </w:r>
      <w:hyperlink r:id="rId16">
        <w:r>
          <w:rPr>
            <w:color w:val="315E8A"/>
            <w:u w:val="single"/>
          </w:rPr>
          <w:t>Источник</w:t>
        </w:r>
      </w:hyperlink>
    </w:p>
    <w:p>
      <w:r>
        <w:rPr>
          <w:b/>
        </w:rPr>
        <w:t xml:space="preserve">• T-Банк / бухгалтерская отчетность — </w:t>
      </w:r>
      <w:r>
        <w:t xml:space="preserve">2024: выручка 1,16 млрд ₽, убыток -449,64 млн ₽. </w:t>
      </w:r>
      <w:hyperlink r:id="rId17">
        <w:r>
          <w:rPr>
            <w:color w:val="315E8A"/>
            <w:u w:val="single"/>
          </w:rPr>
          <w:t>Источник</w:t>
        </w:r>
      </w:hyperlink>
    </w:p>
    <w:p>
      <w:r>
        <w:rPr>
          <w:b/>
        </w:rPr>
        <w:t xml:space="preserve">• Lenta / Rusprofile, 18.04.2026 — </w:t>
      </w:r>
      <w:r>
        <w:t xml:space="preserve">2025: выручка 562,7 млн ₽, убыток 238,8 млн ₽. </w:t>
      </w:r>
      <w:hyperlink r:id="rId18">
        <w:r>
          <w:rPr>
            <w:color w:val="315E8A"/>
            <w:u w:val="single"/>
          </w:rPr>
          <w:t>Источник</w:t>
        </w:r>
      </w:hyperlink>
    </w:p>
    <w:p>
      <w:r>
        <w:rPr>
          <w:b/>
        </w:rPr>
        <w:t xml:space="preserve">• Ведомости, 05.06.2026 — </w:t>
      </w:r>
      <w:r>
        <w:t xml:space="preserve">К июню 2026 осталось два магазина против 21 в ноябре 2025. </w:t>
      </w:r>
      <w:hyperlink r:id="rId19">
        <w:r>
          <w:rPr>
            <w:color w:val="315E8A"/>
            <w:u w:val="single"/>
          </w:rPr>
          <w:t>Источник</w:t>
        </w:r>
      </w:hyperlink>
    </w:p>
    <w:sectPr w:rsidR="00FC693F" w:rsidRPr="0006063C" w:rsidSect="00034616"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326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Georgia" w:hAnsi="Georgia"/>
      <w:b/>
      <w:bCs/>
      <w:color w:val="13263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Georgia" w:hAnsi="Georgia"/>
      <w:b/>
      <w:bCs/>
      <w:color w:val="13263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B58A3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60"/>
      <w:contextualSpacing/>
    </w:pPr>
    <w:rPr>
      <w:rFonts w:asciiTheme="majorHAnsi" w:eastAsiaTheme="majorEastAsia" w:hAnsiTheme="majorHAnsi" w:cstheme="majorBidi" w:ascii="Georgia" w:hAnsi="Georgia"/>
      <w:b/>
      <w:color w:val="13263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vedomosti.ru/business/news/2023/04/14/970889-kommersant-planah-pandora" TargetMode="External"/><Relationship Id="rId10" Type="http://schemas.openxmlformats.org/officeDocument/2006/relationships/hyperlink" Target="https://www.rbc.ru/life/news/645ba8689a79473015c121ca" TargetMode="External"/><Relationship Id="rId11" Type="http://schemas.openxmlformats.org/officeDocument/2006/relationships/hyperlink" Target="https://www.kommersant.ru/doc/6084120" TargetMode="External"/><Relationship Id="rId12" Type="http://schemas.openxmlformats.org/officeDocument/2006/relationships/hyperlink" Target="https://www.vedomosti.ru/business/articles/2024/01/18/1015702-pandora-viigral-isk-kiprskomu-aktsioneru" TargetMode="External"/><Relationship Id="rId13" Type="http://schemas.openxmlformats.org/officeDocument/2006/relationships/hyperlink" Target="https://newpressa.pressa.ru/media/private/kommersant-subbota/2025/62-2025/raw_issue/kommersant-subbota-2025-62-2025.pdf" TargetMode="External"/><Relationship Id="rId14" Type="http://schemas.openxmlformats.org/officeDocument/2006/relationships/hyperlink" Target="https://www.kommersant.ru/doc/7696406" TargetMode="External"/><Relationship Id="rId15" Type="http://schemas.openxmlformats.org/officeDocument/2006/relationships/hyperlink" Target="https://ria.ru/20250505/pandora-2015054500.html" TargetMode="External"/><Relationship Id="rId16" Type="http://schemas.openxmlformats.org/officeDocument/2006/relationships/hyperlink" Target="https://www.vedomosti.ru/business/articles/2025/05/05/1108411-pandora-priznana-bankrotom" TargetMode="External"/><Relationship Id="rId17" Type="http://schemas.openxmlformats.org/officeDocument/2006/relationships/hyperlink" Target="https://www.tbank.ru/business/contractor/legal/1097746826429/" TargetMode="External"/><Relationship Id="rId18" Type="http://schemas.openxmlformats.org/officeDocument/2006/relationships/hyperlink" Target="https://lenta.ru/news/2026/04/18/rossiyskaya-dochka-pandora-zakryla-god-s-ubytkom-pochti-v-sotni-millionov-rubley/" TargetMode="External"/><Relationship Id="rId19" Type="http://schemas.openxmlformats.org/officeDocument/2006/relationships/hyperlink" Target="https://www.vedomosti.ru/business/articles/2026/06/05/1203301-set-panclub-zakrila-pochti-vse-svoi-magazi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