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rial" w:hAnsi="Arial"/>
          <w:b/>
          <w:color w:val="0E7490"/>
          <w:sz w:val="18"/>
        </w:rPr>
        <w:t>РАБОЧЕЕ ДОСЬЕ ТЕХНОЛОГИИ</w:t>
      </w:r>
    </w:p>
    <w:p>
      <w:pPr>
        <w:pStyle w:val="Title"/>
      </w:pPr>
      <w:r>
        <w:t>Досье технологии: passkeys / WebAuthn для малого бизнеса</w:t>
      </w:r>
    </w:p>
    <w:p>
      <w:pPr>
        <w:spacing w:after="200"/>
      </w:pPr>
      <w:r>
        <w:rPr>
          <w:rFonts w:ascii="Arial" w:hAnsi="Arial"/>
          <w:color w:val="486581"/>
          <w:sz w:val="23"/>
        </w:rPr>
        <w:t>Архитектура, угрозы, совместимость, экономика и границы применения. Документ нужен, чтобы понять не «как включить кнопку», а какой контур авторизации придётся изменить.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5112"/>
            <w:shd w:fill="EEF6F8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/>
                <w:color w:val="102A43"/>
                <w:sz w:val="18"/>
              </w:rPr>
              <w:t>Дата фактчека</w:t>
            </w:r>
          </w:p>
        </w:tc>
        <w:tc>
          <w:tcPr>
            <w:tcW w:type="dxa" w:w="5112"/>
            <w:shd w:fill="F4F7FA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 w:val="0"/>
                <w:color w:val="243B53"/>
                <w:sz w:val="18"/>
              </w:rPr>
              <w:t>09.09.2026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EF6F8"/>
            <w:tcBorders>
              <w:top w:val="single" w:sz="4" w:color="EEF6F8"/>
              <w:left w:val="single" w:sz="18" w:color="0E7490"/>
              <w:bottom w:val="single" w:sz="4" w:color="EEF6F8"/>
              <w:right w:val="single" w:sz="4" w:color="EEF6F8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0E7490"/>
                <w:sz w:val="21"/>
              </w:rPr>
              <w:t>Назначение</w:t>
            </w:r>
          </w:p>
          <w:p>
            <w:pPr>
              <w:spacing w:after="40"/>
            </w:pPr>
            <w:r>
              <w:rPr>
                <w:rFonts w:ascii="Arial" w:hAnsi="Arial"/>
                <w:color w:val="243B53"/>
                <w:sz w:val="19"/>
              </w:rPr>
              <w:t>Используйте досье до оценки бюджета и пилота: выберите сценарий, зафиксируйте текущую схему входа, recovery и устройства. Для численного решения откройте отдельную ROI/TCO-модель.</w:t>
            </w:r>
          </w:p>
        </w:tc>
      </w:tr>
    </w:tbl>
    <w:p>
      <w:pPr>
        <w:spacing w:after="20"/>
      </w:pPr>
    </w:p>
    <w:p>
      <w:pPr>
        <w:pStyle w:val="Heading1"/>
      </w:pPr>
      <w:r>
        <w:t>1. Решение в одном абзаце</w:t>
      </w:r>
    </w:p>
    <w:p>
      <w:r>
        <w:t>Passkey — credential на основе асимметричной криптографии и WebAuthn. Закрытый ключ остаётся у пользователя, сервер хранит открытый ключ. Credential привязан к relying party/domain, поэтому классический фишинг с вводом пароля и OTP не переносится на passkey. В малом бизнесе passkeys лучше внедрять поэтапно: add → enroll → measure → prefer → retire legacy.</w:t>
      </w:r>
    </w:p>
    <w:p>
      <w:pPr>
        <w:pStyle w:val="Heading1"/>
      </w:pPr>
      <w:r>
        <w:t>2. Компоненты архитектуры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16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3456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03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Что проверить</w:t>
            </w:r>
          </w:p>
        </w:tc>
      </w:tr>
      <w:tr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Relying Party (ваш сайт/приложение)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Инициирует registration/authentication ceremony и проверяет ответ.</w:t>
            </w:r>
          </w:p>
        </w:tc>
        <w:tc>
          <w:tcPr>
            <w:tcW w:type="dxa" w:w="403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RP ID, origin, HTTPS, стабильный user handle, хранение credential ID/public key.</w:t>
            </w:r>
          </w:p>
        </w:tc>
      </w:tr>
      <w:tr>
        <w:tc>
          <w:tcPr>
            <w:tcW w:type="dxa" w:w="216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WebAuthn client (браузер/ОС)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Связывает сайт с доступными authenticators/credential managers.</w:t>
            </w:r>
          </w:p>
        </w:tc>
        <w:tc>
          <w:tcPr>
            <w:tcW w:type="dxa" w:w="403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Поддержка Conditional UI, cross-device, WebView ограничения.</w:t>
            </w:r>
          </w:p>
        </w:tc>
      </w:tr>
      <w:tr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Authenticator / credential manager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Хранит приватный ключ и выполняет user presence / user verification.</w:t>
            </w:r>
          </w:p>
        </w:tc>
        <w:tc>
          <w:tcPr>
            <w:tcW w:type="dxa" w:w="403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Synced vs device-bound, биометрия/PIN, резервирование.</w:t>
            </w:r>
          </w:p>
        </w:tc>
      </w:tr>
      <w:tr>
        <w:tc>
          <w:tcPr>
            <w:tcW w:type="dxa" w:w="216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Backend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Генерирует challenge, проверяет подпись, создаёт сессию, ведёт lifecycle ключей.</w:t>
            </w:r>
          </w:p>
        </w:tc>
        <w:tc>
          <w:tcPr>
            <w:tcW w:type="dxa" w:w="403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Антиреплей, срок challenge, duplicate credentials, revoke/delete.</w:t>
            </w:r>
          </w:p>
        </w:tc>
      </w:tr>
      <w:tr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Возвращает доступ при потере всех credentials.</w:t>
            </w:r>
          </w:p>
        </w:tc>
        <w:tc>
          <w:tcPr>
            <w:tcW w:type="dxa" w:w="403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Не должен становиться слабым обходным каналом.</w:t>
            </w:r>
          </w:p>
        </w:tc>
      </w:tr>
      <w:tr>
        <w:tc>
          <w:tcPr>
            <w:tcW w:type="dxa" w:w="216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Telemetry</w:t>
            </w:r>
          </w:p>
        </w:tc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Измеряет enrollment, success, fallback, errors, recovery, support.</w:t>
            </w:r>
          </w:p>
        </w:tc>
        <w:tc>
          <w:tcPr>
            <w:tcW w:type="dxa" w:w="403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События до и после пилота; не логировать чувствительные секреты.</w:t>
            </w:r>
          </w:p>
        </w:tc>
      </w:tr>
    </w:tbl>
    <w:p>
      <w:pPr>
        <w:spacing w:after="20"/>
      </w:pPr>
    </w:p>
    <w:p>
      <w:pPr>
        <w:pStyle w:val="Heading1"/>
      </w:pPr>
      <w:r>
        <w:t>3. Регистрация passkey</w:t>
      </w:r>
    </w:p>
    <w:p>
      <w:pPr>
        <w:spacing w:after="80"/>
        <w:ind w:left="259" w:hanging="259"/>
      </w:pPr>
      <w:r>
        <w:rPr>
          <w:b/>
        </w:rPr>
        <w:t xml:space="preserve">1. </w:t>
      </w:r>
      <w:r>
        <w:t>Пользователь уже аутентифицирован или проходит надёжный bootstrap/recovery.</w:t>
      </w:r>
    </w:p>
    <w:p>
      <w:pPr>
        <w:spacing w:after="80"/>
        <w:ind w:left="259" w:hanging="259"/>
      </w:pPr>
      <w:r>
        <w:rPr>
          <w:b/>
        </w:rPr>
        <w:t xml:space="preserve">2. </w:t>
      </w:r>
      <w:r>
        <w:t>Сервер создаёт уникальный challenge и параметры WebAuthn (RP, user, policy).</w:t>
      </w:r>
    </w:p>
    <w:p>
      <w:pPr>
        <w:spacing w:after="80"/>
        <w:ind w:left="259" w:hanging="259"/>
      </w:pPr>
      <w:r>
        <w:rPr>
          <w:b/>
        </w:rPr>
        <w:t xml:space="preserve">3. </w:t>
      </w:r>
      <w:r>
        <w:t>Браузер/ОС предлагает создать credential в доступном authenticator/credential manager.</w:t>
      </w:r>
    </w:p>
    <w:p>
      <w:pPr>
        <w:spacing w:after="80"/>
        <w:ind w:left="259" w:hanging="259"/>
      </w:pPr>
      <w:r>
        <w:rPr>
          <w:b/>
        </w:rPr>
        <w:t xml:space="preserve">4. </w:t>
      </w:r>
      <w:r>
        <w:t>Authenticator создаёт key pair; приватная часть не уходит на сервер.</w:t>
      </w:r>
    </w:p>
    <w:p>
      <w:pPr>
        <w:spacing w:after="80"/>
        <w:ind w:left="259" w:hanging="259"/>
      </w:pPr>
      <w:r>
        <w:rPr>
          <w:b/>
        </w:rPr>
        <w:t xml:space="preserve">5. </w:t>
      </w:r>
      <w:r>
        <w:t>Сервер проверяет attestation/registration response в соответствии со своей политикой и сохраняет публичные данные credential.</w:t>
      </w:r>
    </w:p>
    <w:p>
      <w:pPr>
        <w:spacing w:after="80"/>
        <w:ind w:left="259" w:hanging="259"/>
      </w:pPr>
      <w:r>
        <w:rPr>
          <w:b/>
        </w:rPr>
        <w:t xml:space="preserve">6. </w:t>
      </w:r>
      <w:r>
        <w:t>Пользователь видит понятное название passkey и может позже добавить второй.</w:t>
      </w:r>
    </w:p>
    <w:p>
      <w:pPr>
        <w:pStyle w:val="Heading1"/>
      </w:pPr>
      <w:r>
        <w:t>4. Аутентификация</w:t>
      </w:r>
    </w:p>
    <w:p>
      <w:pPr>
        <w:spacing w:after="80"/>
        <w:ind w:left="259" w:hanging="259"/>
      </w:pPr>
      <w:r>
        <w:rPr>
          <w:b/>
        </w:rPr>
        <w:t xml:space="preserve">1. </w:t>
      </w:r>
      <w:r>
        <w:t>Сервер выдаёт новый challenge.</w:t>
      </w:r>
    </w:p>
    <w:p>
      <w:pPr>
        <w:spacing w:after="80"/>
        <w:ind w:left="259" w:hanging="259"/>
      </w:pPr>
      <w:r>
        <w:rPr>
          <w:b/>
        </w:rPr>
        <w:t xml:space="preserve">2. </w:t>
      </w:r>
      <w:r>
        <w:t>Клиент предлагает подходящий passkey для данного relying party.</w:t>
      </w:r>
    </w:p>
    <w:p>
      <w:pPr>
        <w:spacing w:after="80"/>
        <w:ind w:left="259" w:hanging="259"/>
      </w:pPr>
      <w:r>
        <w:rPr>
          <w:b/>
        </w:rPr>
        <w:t xml:space="preserve">3. </w:t>
      </w:r>
      <w:r>
        <w:t>Пользователь подтверждает присутствие/личность локальной биометрией или PIN согласно возможностям authenticator.</w:t>
      </w:r>
    </w:p>
    <w:p>
      <w:pPr>
        <w:spacing w:after="80"/>
        <w:ind w:left="259" w:hanging="259"/>
      </w:pPr>
      <w:r>
        <w:rPr>
          <w:b/>
        </w:rPr>
        <w:t xml:space="preserve">4. </w:t>
      </w:r>
      <w:r>
        <w:t>Authenticator подписывает challenge закрытым ключом.</w:t>
      </w:r>
    </w:p>
    <w:p>
      <w:pPr>
        <w:spacing w:after="80"/>
        <w:ind w:left="259" w:hanging="259"/>
      </w:pPr>
      <w:r>
        <w:rPr>
          <w:b/>
        </w:rPr>
        <w:t xml:space="preserve">5. </w:t>
      </w:r>
      <w:r>
        <w:t>Сервер проверяет подпись, RP/origin и policy, после чего создаёт обычную защищённую сессию.</w:t>
      </w:r>
    </w:p>
    <w:p>
      <w:pPr>
        <w:pStyle w:val="Heading1"/>
      </w:pPr>
      <w:r>
        <w:t>5. Почему фишинг ломается</w:t>
      </w:r>
    </w:p>
    <w:p>
      <w:r>
        <w:t>Классический фишинг работает потому, что секрет переносим: пароль и OTP можно ввести не туда, а атакующий передаст их настоящему сервису. В WebAuthn credential scoped к RP ID; браузер/ОС участвует в проверке контекста, а приватный ключ не раскрывается. Поэтому атакующий не получает «универсальный секрет», который можно повторно воспроизвести на настоящем домене.</w:t>
      </w:r>
    </w:p>
    <w:p>
      <w:pPr>
        <w:pStyle w:val="Heading1"/>
      </w:pPr>
      <w:r>
        <w:t>6. Типы passkeys и выбор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16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Тип</w:t>
            </w:r>
          </w:p>
        </w:tc>
        <w:tc>
          <w:tcPr>
            <w:tcW w:type="dxa" w:w="3024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Плюсы</w:t>
            </w:r>
          </w:p>
        </w:tc>
        <w:tc>
          <w:tcPr>
            <w:tcW w:type="dxa" w:w="331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Минусы</w:t>
            </w:r>
          </w:p>
        </w:tc>
        <w:tc>
          <w:tcPr>
            <w:tcW w:type="dxa" w:w="216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Для кого</w:t>
            </w:r>
          </w:p>
        </w:tc>
      </w:tr>
      <w:tr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Synced passkey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Удобство, восстановление через credential manager, несколько устройств.</w:t>
            </w:r>
          </w:p>
        </w:tc>
        <w:tc>
          <w:tcPr>
            <w:tcW w:type="dxa" w:w="331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Зависимость от экосистемы credential manager и её recovery.</w:t>
            </w:r>
          </w:p>
        </w:tc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Большинство B2C и обычный workforce.</w:t>
            </w:r>
          </w:p>
        </w:tc>
      </w:tr>
      <w:tr>
        <w:tc>
          <w:tcPr>
            <w:tcW w:type="dxa" w:w="216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Device-bound passkey</w:t>
            </w:r>
          </w:p>
        </w:tc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Выше контроль над местом хранения, меньше переносимость.</w:t>
            </w:r>
          </w:p>
        </w:tc>
        <w:tc>
          <w:tcPr>
            <w:tcW w:type="dxa" w:w="331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Потеря/замена устройства требует второго credential или recovery.</w:t>
            </w:r>
          </w:p>
        </w:tc>
        <w:tc>
          <w:tcPr>
            <w:tcW w:type="dxa" w:w="216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Администраторы, повышенный assurance.</w:t>
            </w:r>
          </w:p>
        </w:tc>
      </w:tr>
      <w:tr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FIDO2 security key</w:t>
            </w:r>
          </w:p>
        </w:tc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Физически отделённый authenticator, высокий assurance.</w:t>
            </w:r>
          </w:p>
        </w:tc>
        <w:tc>
          <w:tcPr>
            <w:tcW w:type="dxa" w:w="331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Закупка, выдача, запасные ключи, логистика.</w:t>
            </w:r>
          </w:p>
        </w:tc>
        <w:tc>
          <w:tcPr>
            <w:tcW w:type="dxa" w:w="216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Критические роли, финансы, ИБ, privileged access.</w:t>
            </w:r>
          </w:p>
        </w:tc>
      </w:tr>
    </w:tbl>
    <w:p>
      <w:pPr>
        <w:spacing w:after="20"/>
      </w:pPr>
    </w:p>
    <w:p>
      <w:pPr>
        <w:pStyle w:val="Heading1"/>
      </w:pPr>
      <w:r>
        <w:t>7. Threat model: что снижается, что остаётся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59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Угроза</w:t>
            </w:r>
          </w:p>
        </w:tc>
        <w:tc>
          <w:tcPr>
            <w:tcW w:type="dxa" w:w="288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Эффект passkeys</w:t>
            </w:r>
          </w:p>
        </w:tc>
        <w:tc>
          <w:tcPr>
            <w:tcW w:type="dxa" w:w="460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Остаточный риск / контроль</w:t>
            </w:r>
          </w:p>
        </w:tc>
      </w:tr>
      <w:tr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Credential phishing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Сильно снижается</w:t>
            </w:r>
          </w:p>
        </w:tc>
        <w:tc>
          <w:tcPr>
            <w:tcW w:type="dxa" w:w="460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 и support должны быть equally strong.</w:t>
            </w:r>
          </w:p>
        </w:tc>
      </w:tr>
      <w:tr>
        <w:tc>
          <w:tcPr>
            <w:tcW w:type="dxa" w:w="259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Credential stuffing</w:t>
            </w:r>
          </w:p>
        </w:tc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Практически устраняется для passkey-only path</w:t>
            </w:r>
          </w:p>
        </w:tc>
        <w:tc>
          <w:tcPr>
            <w:tcW w:type="dxa" w:w="460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Legacy password fallback сохраняет старый риск.</w:t>
            </w:r>
          </w:p>
        </w:tc>
      </w:tr>
      <w:tr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Server credential leak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Снижается ценность украденной auth-базы</w:t>
            </w:r>
          </w:p>
        </w:tc>
        <w:tc>
          <w:tcPr>
            <w:tcW w:type="dxa" w:w="460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Утечка персональных данных и session tokens остаётся.</w:t>
            </w:r>
          </w:p>
        </w:tc>
      </w:tr>
      <w:tr>
        <w:tc>
          <w:tcPr>
            <w:tcW w:type="dxa" w:w="259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SIM swap / SMS interception</w:t>
            </w:r>
          </w:p>
        </w:tc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Не влияет на passkey auth path</w:t>
            </w:r>
          </w:p>
        </w:tc>
        <w:tc>
          <w:tcPr>
            <w:tcW w:type="dxa" w:w="460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Влияет, если SMS оставлен как recovery/fallback.</w:t>
            </w:r>
          </w:p>
        </w:tc>
      </w:tr>
      <w:tr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Session theft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Не решается</w:t>
            </w:r>
          </w:p>
        </w:tc>
        <w:tc>
          <w:tcPr>
            <w:tcW w:type="dxa" w:w="460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Secure cookies, session binding/risk controls, XSS prevention.</w:t>
            </w:r>
          </w:p>
        </w:tc>
      </w:tr>
      <w:tr>
        <w:tc>
          <w:tcPr>
            <w:tcW w:type="dxa" w:w="259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Device compromise</w:t>
            </w:r>
          </w:p>
        </w:tc>
        <w:tc>
          <w:tcPr>
            <w:tcW w:type="dxa" w:w="288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Не решается полностью</w:t>
            </w:r>
          </w:p>
        </w:tc>
        <w:tc>
          <w:tcPr>
            <w:tcW w:type="dxa" w:w="460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Device lock, OS hygiene, revocation, step-up for risky actions.</w:t>
            </w:r>
          </w:p>
        </w:tc>
      </w:tr>
      <w:tr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Helpdesk social engineering</w:t>
            </w:r>
          </w:p>
        </w:tc>
        <w:tc>
          <w:tcPr>
            <w:tcW w:type="dxa" w:w="288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Может стать главным каналом атаки</w:t>
            </w:r>
          </w:p>
        </w:tc>
        <w:tc>
          <w:tcPr>
            <w:tcW w:type="dxa" w:w="460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Жёсткая recovery policy, audit trail, dual control для privileged users.</w:t>
            </w:r>
          </w:p>
        </w:tc>
      </w:tr>
    </w:tbl>
    <w:p>
      <w:pPr>
        <w:spacing w:after="20"/>
      </w:pPr>
    </w:p>
    <w:p>
      <w:pPr>
        <w:pStyle w:val="Heading1"/>
      </w:pPr>
      <w:r>
        <w:t>8. Зависимости и совместимость</w:t>
      </w:r>
    </w:p>
    <w:p>
      <w:pPr>
        <w:pStyle w:val="ListBullet"/>
        <w:spacing w:after="60"/>
      </w:pPr>
      <w:r>
        <w:t>HTTPS обязателен для production WebAuthn, кроме специальных локальных исключений разработки.</w:t>
      </w:r>
    </w:p>
    <w:p>
      <w:pPr>
        <w:pStyle w:val="ListBullet"/>
        <w:spacing w:after="60"/>
      </w:pPr>
      <w:r>
        <w:t>RP ID и доменная модель должны быть устойчивы; миграции доменов требуют отдельного проектирования.</w:t>
      </w:r>
    </w:p>
    <w:p>
      <w:pPr>
        <w:pStyle w:val="ListBullet"/>
        <w:spacing w:after="60"/>
      </w:pPr>
      <w:r>
        <w:t>Старые браузеры, embedded WebView и корпоративные lockdown-политики нужно тестировать, а не угадывать.</w:t>
      </w:r>
    </w:p>
    <w:p>
      <w:pPr>
        <w:pStyle w:val="ListBullet"/>
        <w:spacing w:after="60"/>
      </w:pPr>
      <w:r>
        <w:t>Cross-device authentication через QR/nearby flow полезна, но UX отличается между платформами.</w:t>
      </w:r>
    </w:p>
    <w:p>
      <w:pPr>
        <w:pStyle w:val="ListBullet"/>
        <w:spacing w:after="60"/>
      </w:pPr>
      <w:r>
        <w:t>Нужно разрешить несколько credentials на аккаунт и дать пользователю понятное управление ими.</w:t>
      </w:r>
    </w:p>
    <w:p>
      <w:pPr>
        <w:pStyle w:val="ListBullet"/>
        <w:spacing w:after="60"/>
      </w:pPr>
      <w:r>
        <w:t>Не связывать identity пользователя с отображаемым email так, чтобы смена email ломала credential mapping.</w:t>
      </w:r>
    </w:p>
    <w:p>
      <w:pPr>
        <w:pStyle w:val="Heading1"/>
      </w:pPr>
      <w:r>
        <w:t>9. Данные и приватность</w:t>
      </w:r>
    </w:p>
    <w:p>
      <w:r>
        <w:t>Passkey не требует передачи биометрии вашему сервису. Биометрическая проверка выполняется локально authenticator. На стороне relying party хранятся идентификаторы credentials, открытые ключи и служебные метаданные, необходимые для аутентификации. Их всё равно нужно защищать как часть системы учётных записей и не превращать telemetry в сбор лишних device fingerprint данных без необходимости.</w:t>
      </w:r>
    </w:p>
    <w:p>
      <w:pPr>
        <w:pStyle w:val="Heading1"/>
      </w:pPr>
      <w:r>
        <w:t>10. Экономика и TCO</w:t>
      </w:r>
    </w:p>
    <w:p>
      <w:pPr>
        <w:pStyle w:val="ListBullet"/>
        <w:spacing w:after="60"/>
      </w:pPr>
      <w:r>
        <w:t>CAPEX/разовый проект: backend, frontend, UX, QA по устройствам, security review, migration и документация.</w:t>
      </w:r>
    </w:p>
    <w:p>
      <w:pPr>
        <w:pStyle w:val="ListBullet"/>
        <w:spacing w:after="60"/>
      </w:pPr>
      <w:r>
        <w:t>OPEX: поддержка, мониторинг, библиотечные обновления, recovery operations, FIDO hardware keys для отдельных ролей.</w:t>
      </w:r>
    </w:p>
    <w:p>
      <w:pPr>
        <w:pStyle w:val="ListBullet"/>
        <w:spacing w:after="60"/>
      </w:pPr>
      <w:r>
        <w:t>Экономия: SMS/voice OTP, password reset/helpdesk, иногда снижение login abandonment и потерь времени.</w:t>
      </w:r>
    </w:p>
    <w:p>
      <w:pPr>
        <w:pStyle w:val="ListBullet"/>
        <w:spacing w:after="60"/>
      </w:pPr>
      <w:r>
        <w:t>Риск-эффект: меньше phishing/credential stuffing; его не следует автоматически переводить в рубли без собственной статистики инцидентов.</w:t>
      </w:r>
    </w:p>
    <w:p>
      <w:pPr>
        <w:pStyle w:val="ListBullet"/>
        <w:spacing w:after="60"/>
      </w:pPr>
      <w:r>
        <w:t>Главный финансовый параметр для российского бизнеса — фактическая средняя стоимость авторизационного SMS из своих счетов, а не общий «тариф рынка».</w:t>
      </w:r>
    </w:p>
    <w:p>
      <w:pPr>
        <w:pStyle w:val="Heading1"/>
      </w:pPr>
      <w:r>
        <w:t>11. Варианты миграции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448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Модель</w:t>
            </w:r>
          </w:p>
        </w:tc>
        <w:tc>
          <w:tcPr>
            <w:tcW w:type="dxa" w:w="403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Описание</w:t>
            </w:r>
          </w:p>
        </w:tc>
        <w:tc>
          <w:tcPr>
            <w:tcW w:type="dxa" w:w="3600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Когда использовать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 optional</w:t>
            </w:r>
          </w:p>
        </w:tc>
        <w:tc>
          <w:tcPr>
            <w:tcW w:type="dxa" w:w="403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Пользователь может создать passkey; legacy остаётся равноправным.</w:t>
            </w:r>
          </w:p>
        </w:tc>
        <w:tc>
          <w:tcPr>
            <w:tcW w:type="dxa" w:w="360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Первый пилот и low-risk B2C.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 preferred</w:t>
            </w:r>
          </w:p>
        </w:tc>
        <w:tc>
          <w:tcPr>
            <w:tcW w:type="dxa" w:w="403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UI сначала предлагает passkey, legacy доступен как fallback.</w:t>
            </w:r>
          </w:p>
        </w:tc>
        <w:tc>
          <w:tcPr>
            <w:tcW w:type="dxa" w:w="360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После стабильного enrollment и success.</w:t>
            </w:r>
          </w:p>
        </w:tc>
      </w:tr>
      <w:tr>
        <w:tc>
          <w:tcPr>
            <w:tcW w:type="dxa" w:w="2448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 required by segment</w:t>
            </w:r>
          </w:p>
        </w:tc>
        <w:tc>
          <w:tcPr>
            <w:tcW w:type="dxa" w:w="403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 обязателен для админов/финансов/выбранной группы.</w:t>
            </w:r>
          </w:p>
        </w:tc>
        <w:tc>
          <w:tcPr>
            <w:tcW w:type="dxa" w:w="3600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Высокий риск и управляемая аудитория.</w:t>
            </w:r>
          </w:p>
        </w:tc>
      </w:tr>
      <w:tr>
        <w:tc>
          <w:tcPr>
            <w:tcW w:type="dxa" w:w="2448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Passkey-only</w:t>
            </w:r>
          </w:p>
        </w:tc>
        <w:tc>
          <w:tcPr>
            <w:tcW w:type="dxa" w:w="403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Пароль/SMS отключены как routine auth.</w:t>
            </w:r>
          </w:p>
        </w:tc>
        <w:tc>
          <w:tcPr>
            <w:tcW w:type="dxa" w:w="3600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Только после готового recovery, coverage и подтверждённых gate-метрик.</w:t>
            </w:r>
          </w:p>
        </w:tc>
      </w:tr>
    </w:tbl>
    <w:p>
      <w:pPr>
        <w:spacing w:after="20"/>
      </w:pPr>
    </w:p>
    <w:p>
      <w:pPr>
        <w:pStyle w:val="Heading1"/>
      </w:pPr>
      <w:r>
        <w:t>12. Stop-условия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DECEC"/>
            <w:tcBorders>
              <w:top w:val="single" w:sz="4" w:color="FDECEC"/>
              <w:left w:val="single" w:sz="18" w:color="B42318"/>
              <w:bottom w:val="single" w:sz="4" w:color="FDECEC"/>
              <w:right w:val="single" w:sz="4" w:color="FDECEC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B42318"/>
                <w:sz w:val="21"/>
              </w:rPr>
              <w:t>СТОП расширению пилота</w:t>
            </w:r>
          </w:p>
          <w:p>
            <w:pPr>
              <w:spacing w:after="40"/>
            </w:pPr>
            <w:r>
              <w:rPr>
                <w:rFonts w:ascii="Arial" w:hAnsi="Arial"/>
                <w:color w:val="243B53"/>
                <w:sz w:val="19"/>
              </w:rPr>
              <w:t>Есть хотя бы один критический lockout без штатного восстановления; recovery опирается на один слабый SMS; нет telemetry; ключевые устройства/браузеры дают массовые ошибки; support не обучен; passkey создаётся, но пользователь не понимает, где он хранится и как войти с другого устройства.</w:t>
            </w:r>
          </w:p>
        </w:tc>
      </w:tr>
    </w:tbl>
    <w:p>
      <w:pPr>
        <w:spacing w:after="20"/>
      </w:pPr>
    </w:p>
    <w:p>
      <w:pPr>
        <w:pStyle w:val="Heading1"/>
      </w:pPr>
      <w:r>
        <w:t>13. Решение для малого бизнеса</w:t>
      </w:r>
    </w:p>
    <w:p>
      <w:r>
        <w:t>Если пользователей мало, а риски высоки (администраторы, бухгалтерия, CRM, внутренние кабинеты), passkeys стоит рассматривать прежде всего как security-control. Если пользователей много и login зависит от SMS, появляется измеримый cost case. Если логинов мало, проект должен проходить не через обещание экономии, а через risk/UX rationale.</w:t>
      </w:r>
    </w:p>
    <w:p>
      <w:pPr>
        <w:pStyle w:val="Heading1"/>
      </w:pPr>
      <w:r>
        <w:t>Источники и дата проверки</w:t>
      </w:r>
    </w:p>
    <w:p>
      <w:pPr>
        <w:pStyle w:val="Smallnote"/>
      </w:pPr>
      <w:r>
        <w:t>Фактчек: 09.09.2026. Сценарные цифры и пороги в документах маркируются отдельно и не выдаются за рыночный факт.</w:t>
      </w:r>
    </w:p>
    <w:p>
      <w:pPr>
        <w:spacing w:after="100"/>
      </w:pPr>
      <w:r>
        <w:rPr>
          <w:b/>
        </w:rPr>
        <w:t xml:space="preserve">1. W3C — Web Authentication Level 3 Recommendation — </w:t>
      </w:r>
      <w:hyperlink r:id="rId9">
        <w:r>
          <w:rPr>
            <w:color w:val="0E7490"/>
            <w:u w:val="single"/>
          </w:rPr>
          <w:t>открыть источник</w:t>
        </w:r>
      </w:hyperlink>
      <w:r>
        <w:t>. Нормативная спецификация WebAuthn Level 3; публичные ключи, привязка credential к relying party и origin.</w:t>
      </w:r>
    </w:p>
    <w:p>
      <w:pPr>
        <w:spacing w:after="100"/>
      </w:pPr>
      <w:r>
        <w:rPr>
          <w:b/>
        </w:rPr>
        <w:t xml:space="preserve">2. FIDO Alliance — The State of Passkeys 2026 — </w:t>
      </w:r>
      <w:hyperlink r:id="rId10">
        <w:r>
          <w:rPr>
            <w:color w:val="0E7490"/>
            <w:u w:val="single"/>
          </w:rPr>
          <w:t>открыть источник</w:t>
        </w:r>
      </w:hyperlink>
      <w:r>
        <w:t>. Оценка масштаба внедрения passkeys в 2026 году: 5 млрд активных passkeys; данные опросов потребителей и организаций.</w:t>
      </w:r>
    </w:p>
    <w:p>
      <w:pPr>
        <w:spacing w:after="100"/>
      </w:pPr>
      <w:r>
        <w:rPr>
          <w:b/>
        </w:rPr>
        <w:t xml:space="preserve">3. FIDO Alliance — Passkeys — </w:t>
      </w:r>
      <w:hyperlink r:id="rId11">
        <w:r>
          <w:rPr>
            <w:color w:val="0E7490"/>
            <w:u w:val="single"/>
          </w:rPr>
          <w:t>открыть источник</w:t>
        </w:r>
      </w:hyperlink>
      <w:r>
        <w:t>. Объяснение phishing-resistant модели, отсутствия паролей на сервере и роли локальной биометрии.</w:t>
      </w:r>
    </w:p>
    <w:p>
      <w:pPr>
        <w:spacing w:after="100"/>
      </w:pPr>
      <w:r>
        <w:rPr>
          <w:b/>
        </w:rPr>
        <w:t xml:space="preserve">4. NIST SP 800-63B — Authenticators — </w:t>
      </w:r>
      <w:hyperlink r:id="rId12">
        <w:r>
          <w:rPr>
            <w:color w:val="0E7490"/>
            <w:u w:val="single"/>
          </w:rPr>
          <w:t>открыть источник</w:t>
        </w:r>
      </w:hyperlink>
      <w:r>
        <w:t>. OTP с ручным вводом не считается phishing-resistant; PSTN/SMS out-of-band относится к restricted authenticator.</w:t>
      </w:r>
    </w:p>
    <w:p>
      <w:pPr>
        <w:spacing w:after="100"/>
      </w:pPr>
      <w:r>
        <w:rPr>
          <w:b/>
        </w:rPr>
        <w:t xml:space="preserve">5. Google for Developers — Passkeys user journeys — </w:t>
      </w:r>
      <w:hyperlink r:id="rId13">
        <w:r>
          <w:rPr>
            <w:color w:val="0E7490"/>
            <w:u w:val="single"/>
          </w:rPr>
          <w:t>открыть источник</w:t>
        </w:r>
      </w:hyperlink>
      <w:r>
        <w:t>. Практика постепенного перехода, несколько passkeys на аккаунт, recovery и fallback.</w:t>
      </w:r>
    </w:p>
    <w:p>
      <w:pPr>
        <w:spacing w:after="100"/>
      </w:pPr>
      <w:r>
        <w:rPr>
          <w:b/>
        </w:rPr>
        <w:t xml:space="preserve">6. Google for Developers — Server-side passkey registration — </w:t>
      </w:r>
      <w:hyperlink r:id="rId14">
        <w:r>
          <w:rPr>
            <w:color w:val="0E7490"/>
            <w:u w:val="single"/>
          </w:rPr>
          <w:t>открыть источник</w:t>
        </w:r>
      </w:hyperlink>
      <w:r>
        <w:t>. Серверная регистрация и рекомендация использовать проверенные WebAuthn/FIDO библиотеки.</w:t>
      </w:r>
    </w:p>
    <w:p>
      <w:pPr>
        <w:spacing w:after="100"/>
      </w:pPr>
      <w:r>
        <w:rPr>
          <w:b/>
        </w:rPr>
        <w:t xml:space="preserve">7. passkeys.dev — Device Support — </w:t>
      </w:r>
      <w:hyperlink r:id="rId15">
        <w:r>
          <w:rPr>
            <w:color w:val="0E7490"/>
            <w:u w:val="single"/>
          </w:rPr>
          <w:t>открыть источник</w:t>
        </w:r>
      </w:hyperlink>
      <w:r>
        <w:t>. Матрица поддержки passkeys, cross-device authentication и credential managers на основных ОС/браузерах.</w:t>
      </w:r>
    </w:p>
    <w:p>
      <w:pPr>
        <w:spacing w:after="100"/>
      </w:pPr>
      <w:r>
        <w:rPr>
          <w:b/>
        </w:rPr>
        <w:t xml:space="preserve">8. Microsoft Learn — passkeys by default; retirement of Microsoft-provided SMS/voice — </w:t>
      </w:r>
      <w:hyperlink r:id="rId16">
        <w:r>
          <w:rPr>
            <w:color w:val="0E7490"/>
            <w:u w:val="single"/>
          </w:rPr>
          <w:t>открыть источник</w:t>
        </w:r>
      </w:hyperlink>
      <w:r>
        <w:t>. С 1 сентября 2026 года passkeys становятся default-направлением для затронутых Entra-пользователей; Microsoft-managed SMS/voice выводятся 1 февраля 2027 года.</w:t>
      </w:r>
    </w:p>
    <w:p>
      <w:pPr>
        <w:spacing w:after="100"/>
      </w:pPr>
      <w:r>
        <w:rPr>
          <w:b/>
        </w:rPr>
        <w:t xml:space="preserve">9. FIDO Alliance — Displace Password + OTP Authentication with Passkeys — </w:t>
      </w:r>
      <w:hyperlink r:id="rId17">
        <w:r>
          <w:rPr>
            <w:color w:val="0E7490"/>
            <w:u w:val="single"/>
          </w:rPr>
          <w:t>открыть источник</w:t>
        </w:r>
      </w:hyperlink>
      <w:r>
        <w:t>. Миграция password+OTP, пилотирование, enrollment и account recovery.</w:t>
      </w:r>
    </w:p>
    <w:p>
      <w:pPr>
        <w:spacing w:after="100"/>
      </w:pPr>
      <w:r>
        <w:rPr>
          <w:b/>
        </w:rPr>
        <w:t xml:space="preserve">10. МТС Exolve — изменение тарифов на SMS с 1 августа 2026 года — </w:t>
      </w:r>
      <w:hyperlink r:id="rId18">
        <w:r>
          <w:rPr>
            <w:color w:val="0E7490"/>
            <w:u w:val="single"/>
          </w:rPr>
          <w:t>открыть источник</w:t>
        </w:r>
      </w:hyperlink>
      <w:r>
        <w:t>. Пример актуальной сложной пакетной тарификации сервисных/авторизационных SMS; показывает, почему в ROI нужно подставлять фактическую цену из договора.</w:t>
      </w:r>
    </w:p>
    <w:p>
      <w:pPr>
        <w:spacing w:after="100"/>
      </w:pPr>
      <w:r>
        <w:rPr>
          <w:b/>
        </w:rPr>
        <w:t xml:space="preserve">11. МТС Exolve — плата за шаблоны SMS на Мегафон с 1 сентября 2026 года — </w:t>
      </w:r>
      <w:hyperlink r:id="rId19">
        <w:r>
          <w:rPr>
            <w:color w:val="0E7490"/>
            <w:u w:val="single"/>
          </w:rPr>
          <w:t>открыть источник</w:t>
        </w:r>
      </w:hyperlink>
      <w:r>
        <w:t>. Пример дополнительных фиксированных расходов на авторизационные/сервисные шаблоны у конкретного провайдера.</w:t>
      </w:r>
    </w:p>
    <w:sectPr w:rsidR="00FC693F" w:rsidRPr="0006063C" w:rsidSect="00034616">
      <w:footerReference w:type="default" r:id="rId2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6581"/>
        <w:sz w:val="16"/>
      </w:rPr>
      <w:t>Бизнес под микроскопом ·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E749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243B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A4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4865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w3.org/TR/2026/REC-webauthn-3-20260825/" TargetMode="External"/><Relationship Id="rId10" Type="http://schemas.openxmlformats.org/officeDocument/2006/relationships/hyperlink" Target="https://fidoalliance.org/the-state-of-passkeys-2026-global-consumer-and-workforce-report/" TargetMode="External"/><Relationship Id="rId11" Type="http://schemas.openxmlformats.org/officeDocument/2006/relationships/hyperlink" Target="https://fidoalliance.org/passkeys/" TargetMode="External"/><Relationship Id="rId12" Type="http://schemas.openxmlformats.org/officeDocument/2006/relationships/hyperlink" Target="https://pages.nist.gov/800-63-4/sp800-63b/authenticators/" TargetMode="External"/><Relationship Id="rId13" Type="http://schemas.openxmlformats.org/officeDocument/2006/relationships/hyperlink" Target="https://developers.google.com/identity/passkeys/ux/user-journeys" TargetMode="External"/><Relationship Id="rId14" Type="http://schemas.openxmlformats.org/officeDocument/2006/relationships/hyperlink" Target="https://developers.google.com/identity/passkeys/developer-guides/server-registration" TargetMode="External"/><Relationship Id="rId15" Type="http://schemas.openxmlformats.org/officeDocument/2006/relationships/hyperlink" Target="https://passkeys.dev/device-support/" TargetMode="External"/><Relationship Id="rId16" Type="http://schemas.openxmlformats.org/officeDocument/2006/relationships/hyperlink" Target="https://learn.microsoft.com/ru-ru/entra/identity/authentication/concept-sms-voice-retirement" TargetMode="External"/><Relationship Id="rId17" Type="http://schemas.openxmlformats.org/officeDocument/2006/relationships/hyperlink" Target="https://fidoalliance.org/white-paper-displace-password-otp-authentication-with-passkeys/" TargetMode="External"/><Relationship Id="rId18" Type="http://schemas.openxmlformats.org/officeDocument/2006/relationships/hyperlink" Target="https://community.exolve.ru/news/izmenenie-tarifov-na-sms-rassylku-s-1-avgusta-2026-goda/" TargetMode="External"/><Relationship Id="rId19" Type="http://schemas.openxmlformats.org/officeDocument/2006/relationships/hyperlink" Target="https://community.exolve.ru/news/obnovlenie-po-shablonam-sms-s-1-sentyabrya-megafon/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