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Arial" w:hAnsi="Arial"/>
          <w:b/>
          <w:color w:val="0E7490"/>
          <w:sz w:val="18"/>
        </w:rPr>
        <w:t>АУДИТ ГОТОВНОСТИ И ПИЛОТ</w:t>
      </w:r>
    </w:p>
    <w:p>
      <w:pPr>
        <w:pStyle w:val="Title"/>
      </w:pPr>
      <w:r>
        <w:t>Passkeys: матрица сценариев, readiness audit и 30-дневный pilot brief</w:t>
      </w:r>
    </w:p>
    <w:p>
      <w:pPr>
        <w:spacing w:after="200"/>
      </w:pPr>
      <w:r>
        <w:rPr>
          <w:rFonts w:ascii="Arial" w:hAnsi="Arial"/>
          <w:color w:val="486581"/>
          <w:sz w:val="23"/>
        </w:rPr>
        <w:t>Один рабочий документ для решения «где внедрять», проверки готовности и постановки управляемого пилота.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80"/>
        <w:gridCol w:w="6912"/>
      </w:tblGrid>
      <w:tr>
        <w:tc>
          <w:tcPr>
            <w:tcW w:type="dxa" w:w="5112"/>
            <w:shd w:fill="EEF6F8"/>
            <w:vAlign w:val="center"/>
            <w:tcBorders>
              <w:top w:val="single" w:sz="6" w:color="CBD5E1"/>
              <w:left w:val="single" w:sz="6" w:color="CBD5E1"/>
              <w:bottom w:val="single" w:sz="6" w:color="CBD5E1"/>
              <w:right w:val="single" w:sz="6" w:color="CBD5E1"/>
            </w:tcBorders>
          </w:tcPr>
          <w:p>
            <w:r>
              <w:rPr>
                <w:rFonts w:ascii="Arial" w:hAnsi="Arial"/>
                <w:b/>
                <w:color w:val="102A43"/>
                <w:sz w:val="18"/>
              </w:rPr>
              <w:t>Дата фактчека</w:t>
            </w:r>
          </w:p>
        </w:tc>
        <w:tc>
          <w:tcPr>
            <w:tcW w:type="dxa" w:w="5112"/>
            <w:shd w:fill="F4F7FA"/>
            <w:vAlign w:val="center"/>
            <w:tcBorders>
              <w:top w:val="single" w:sz="6" w:color="CBD5E1"/>
              <w:left w:val="single" w:sz="6" w:color="CBD5E1"/>
              <w:bottom w:val="single" w:sz="6" w:color="CBD5E1"/>
              <w:right w:val="single" w:sz="6" w:color="CBD5E1"/>
            </w:tcBorders>
          </w:tcPr>
          <w:p>
            <w:r>
              <w:rPr>
                <w:rFonts w:ascii="Arial" w:hAnsi="Arial"/>
                <w:b w:val="0"/>
                <w:color w:val="243B53"/>
                <w:sz w:val="18"/>
              </w:rPr>
              <w:t>09.09.2026</w:t>
            </w:r>
          </w:p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EF6F8"/>
            <w:tcBorders>
              <w:top w:val="single" w:sz="4" w:color="EEF6F8"/>
              <w:left w:val="single" w:sz="18" w:color="0E7490"/>
              <w:bottom w:val="single" w:sz="4" w:color="EEF6F8"/>
              <w:right w:val="single" w:sz="4" w:color="EEF6F8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color w:val="0E7490"/>
                <w:sz w:val="21"/>
              </w:rPr>
              <w:t>Как использовать</w:t>
            </w:r>
          </w:p>
          <w:p>
            <w:pPr>
              <w:spacing w:after="40"/>
            </w:pPr>
            <w:r>
              <w:rPr>
                <w:rFonts w:ascii="Arial" w:hAnsi="Arial"/>
                <w:color w:val="243B53"/>
                <w:sz w:val="19"/>
              </w:rPr>
              <w:t>1) выберите сценарий; 2) пройдите readiness audit; 3) если нет красных флагов и score достаточный — заполните pilot brief; 4) переносите фактические цифры в ROI/TCO Excel.</w:t>
            </w:r>
          </w:p>
        </w:tc>
      </w:tr>
    </w:tbl>
    <w:p>
      <w:pPr>
        <w:spacing w:after="20"/>
      </w:pPr>
    </w:p>
    <w:p>
      <w:pPr>
        <w:pStyle w:val="Heading1"/>
      </w:pPr>
      <w:r>
        <w:t>1. Матрица сценариев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880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Сценарий</w:t>
            </w:r>
          </w:p>
        </w:tc>
        <w:tc>
          <w:tcPr>
            <w:tcW w:type="dxa" w:w="3456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Ценность passkeys</w:t>
            </w:r>
          </w:p>
        </w:tc>
        <w:tc>
          <w:tcPr>
            <w:tcW w:type="dxa" w:w="1728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Сложность</w:t>
            </w:r>
          </w:p>
        </w:tc>
        <w:tc>
          <w:tcPr>
            <w:tcW w:type="dxa" w:w="3024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Решение</w:t>
            </w:r>
          </w:p>
        </w:tc>
      </w:tr>
      <w:tr>
        <w:tc>
          <w:tcPr>
            <w:tcW w:type="dxa" w:w="288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Администраторы сайта / CRM / финансы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Очень высокая: phishing-resistant вход, небольшой контролируемый пул.</w:t>
            </w:r>
          </w:p>
        </w:tc>
        <w:tc>
          <w:tcPr>
            <w:tcW w:type="dxa" w:w="172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Низкая/средняя</w:t>
            </w:r>
          </w:p>
        </w:tc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Пилотировать в первую очередь.</w:t>
            </w:r>
          </w:p>
        </w:tc>
      </w:tr>
      <w:tr>
        <w:tc>
          <w:tcPr>
            <w:tcW w:type="dxa" w:w="2880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Сотрудники 10–200 человек</w:t>
            </w:r>
          </w:p>
        </w:tc>
        <w:tc>
          <w:tcPr>
            <w:tcW w:type="dxa" w:w="3456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Высокая: password reset, phishing, onboarding/offboarding.</w:t>
            </w:r>
          </w:p>
        </w:tc>
        <w:tc>
          <w:tcPr>
            <w:tcW w:type="dxa" w:w="172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Средняя</w:t>
            </w:r>
          </w:p>
        </w:tc>
        <w:tc>
          <w:tcPr>
            <w:tcW w:type="dxa" w:w="3024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Passkey preferred; для privileged — device-bound/security key.</w:t>
            </w:r>
          </w:p>
        </w:tc>
      </w:tr>
      <w:tr>
        <w:tc>
          <w:tcPr>
            <w:tcW w:type="dxa" w:w="288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B2C кабинет, 5 000+ повторных логинов/мес.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Высокая: UX + SMS cost + security.</w:t>
            </w:r>
          </w:p>
        </w:tc>
        <w:tc>
          <w:tcPr>
            <w:tcW w:type="dxa" w:w="172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Средняя/высокая</w:t>
            </w:r>
          </w:p>
        </w:tc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Пилот 5–10% или 50–200 пользователей; не удалять fallback.</w:t>
            </w:r>
          </w:p>
        </w:tc>
      </w:tr>
      <w:tr>
        <w:tc>
          <w:tcPr>
            <w:tcW w:type="dxa" w:w="2880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B2C кабинет с редкими входами</w:t>
            </w:r>
          </w:p>
        </w:tc>
        <w:tc>
          <w:tcPr>
            <w:tcW w:type="dxa" w:w="3456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Средняя: security/UX, слабее cost case.</w:t>
            </w:r>
          </w:p>
        </w:tc>
        <w:tc>
          <w:tcPr>
            <w:tcW w:type="dxa" w:w="172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Средняя</w:t>
            </w:r>
          </w:p>
        </w:tc>
        <w:tc>
          <w:tcPr>
            <w:tcW w:type="dxa" w:w="3024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Не делать ROI только на SMS; опциональный enrollment.</w:t>
            </w:r>
          </w:p>
        </w:tc>
      </w:tr>
      <w:tr>
        <w:tc>
          <w:tcPr>
            <w:tcW w:type="dxa" w:w="288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Сервис с большим трафиком через in-app WebView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Потенциально высокая, но coverage риск.</w:t>
            </w:r>
          </w:p>
        </w:tc>
        <w:tc>
          <w:tcPr>
            <w:tcW w:type="dxa" w:w="172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Высокая</w:t>
            </w:r>
          </w:p>
        </w:tc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Сначала technical spike и device matrix.</w:t>
            </w:r>
          </w:p>
        </w:tc>
      </w:tr>
      <w:tr>
        <w:tc>
          <w:tcPr>
            <w:tcW w:type="dxa" w:w="2880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Общие терминалы / shared PCs</w:t>
            </w:r>
          </w:p>
        </w:tc>
        <w:tc>
          <w:tcPr>
            <w:tcW w:type="dxa" w:w="3456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Неоднозначная: credential ownership и OS profile критичны.</w:t>
            </w:r>
          </w:p>
        </w:tc>
        <w:tc>
          <w:tcPr>
            <w:tcW w:type="dxa" w:w="172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Высокая</w:t>
            </w:r>
          </w:p>
        </w:tc>
        <w:tc>
          <w:tcPr>
            <w:tcW w:type="dxa" w:w="3024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Не включать массово без явной модели пользователя.</w:t>
            </w:r>
          </w:p>
        </w:tc>
      </w:tr>
      <w:tr>
        <w:tc>
          <w:tcPr>
            <w:tcW w:type="dxa" w:w="288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Гостевой checkout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Низкая как обязательный шаг.</w:t>
            </w:r>
          </w:p>
        </w:tc>
        <w:tc>
          <w:tcPr>
            <w:tcW w:type="dxa" w:w="172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Средняя</w:t>
            </w:r>
          </w:p>
        </w:tc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Не мешать покупке; предлагать passkey после конверсии.</w:t>
            </w:r>
          </w:p>
        </w:tc>
      </w:tr>
    </w:tbl>
    <w:p>
      <w:pPr>
        <w:spacing w:after="20"/>
      </w:pPr>
    </w:p>
    <w:p>
      <w:pPr>
        <w:pStyle w:val="Heading1"/>
      </w:pPr>
      <w:r>
        <w:t>2. Readiness audit: оценка 0–2</w:t>
      </w:r>
    </w:p>
    <w:p>
      <w:r>
        <w:t>Поставьте 0 — нет/неизвестно, 1 — частично, 2 — готово и подтверждено. Максимум 28 баллов. Любой красный флаг ниже блокирует отключение legacy независимо от суммы баллов.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024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Контроль</w:t>
            </w:r>
          </w:p>
        </w:tc>
        <w:tc>
          <w:tcPr>
            <w:tcW w:type="dxa" w:w="6048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PASS-критерий</w:t>
            </w:r>
          </w:p>
        </w:tc>
        <w:tc>
          <w:tcPr>
            <w:tcW w:type="dxa" w:w="1152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Балл 0–2</w:t>
            </w:r>
          </w:p>
        </w:tc>
      </w:tr>
      <w:tr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HTTPS и стабильный домен/RP ID</w:t>
            </w:r>
          </w:p>
        </w:tc>
        <w:tc>
          <w:tcPr>
            <w:tcW w:type="dxa" w:w="60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Production работает на HTTPS; доменная схема понятна и не меняется в пилоте.</w:t>
            </w:r>
          </w:p>
        </w:tc>
        <w:tc>
          <w:tcPr>
            <w:tcW w:type="dxa" w:w="115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</w:r>
          </w:p>
        </w:tc>
      </w:tr>
      <w:tr>
        <w:tc>
          <w:tcPr>
            <w:tcW w:type="dxa" w:w="3024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Контроль над auth backend / IdP</w:t>
            </w:r>
          </w:p>
        </w:tc>
        <w:tc>
          <w:tcPr>
            <w:tcW w:type="dxa" w:w="60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Команда знает, где реализовать или включить WebAuthn и как хранить credentials.</w:t>
            </w:r>
          </w:p>
        </w:tc>
        <w:tc>
          <w:tcPr>
            <w:tcW w:type="dxa" w:w="115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</w:r>
          </w:p>
        </w:tc>
      </w:tr>
      <w:tr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Device/browser analytics</w:t>
            </w:r>
          </w:p>
        </w:tc>
        <w:tc>
          <w:tcPr>
            <w:tcW w:type="dxa" w:w="60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Есть реальное распределение ОС, браузеров, WebView и доля unsupported/unknown.</w:t>
            </w:r>
          </w:p>
        </w:tc>
        <w:tc>
          <w:tcPr>
            <w:tcW w:type="dxa" w:w="115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</w:r>
          </w:p>
        </w:tc>
      </w:tr>
      <w:tr>
        <w:tc>
          <w:tcPr>
            <w:tcW w:type="dxa" w:w="3024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Baseline метрик входа</w:t>
            </w:r>
          </w:p>
        </w:tc>
        <w:tc>
          <w:tcPr>
            <w:tcW w:type="dxa" w:w="60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Известны logins, success/fail, SMS OTP, reset, recovery, support tickets.</w:t>
            </w:r>
          </w:p>
        </w:tc>
        <w:tc>
          <w:tcPr>
            <w:tcW w:type="dxa" w:w="115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</w:r>
          </w:p>
        </w:tc>
      </w:tr>
      <w:tr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Telemetry auth events</w:t>
            </w:r>
          </w:p>
        </w:tc>
        <w:tc>
          <w:tcPr>
            <w:tcW w:type="dxa" w:w="60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Можно измерить registration success, auth success, fallback, error family, recovery.</w:t>
            </w:r>
          </w:p>
        </w:tc>
        <w:tc>
          <w:tcPr>
            <w:tcW w:type="dxa" w:w="115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</w:r>
          </w:p>
        </w:tc>
      </w:tr>
      <w:tr>
        <w:tc>
          <w:tcPr>
            <w:tcW w:type="dxa" w:w="3024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Модель нескольких passkeys</w:t>
            </w:r>
          </w:p>
        </w:tc>
        <w:tc>
          <w:tcPr>
            <w:tcW w:type="dxa" w:w="60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Аккаунт поддерживает несколько credentials, названия и удаление/revoke.</w:t>
            </w:r>
          </w:p>
        </w:tc>
        <w:tc>
          <w:tcPr>
            <w:tcW w:type="dxa" w:w="115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</w:r>
          </w:p>
        </w:tc>
      </w:tr>
      <w:tr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Recovery design</w:t>
            </w:r>
          </w:p>
        </w:tc>
        <w:tc>
          <w:tcPr>
            <w:tcW w:type="dxa" w:w="60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Есть сценарии lost device, deleted passkeys, new device, compromised account.</w:t>
            </w:r>
          </w:p>
        </w:tc>
        <w:tc>
          <w:tcPr>
            <w:tcW w:type="dxa" w:w="115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</w:r>
          </w:p>
        </w:tc>
      </w:tr>
      <w:tr>
        <w:tc>
          <w:tcPr>
            <w:tcW w:type="dxa" w:w="3024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Fallback policy</w:t>
            </w:r>
          </w:p>
        </w:tc>
        <w:tc>
          <w:tcPr>
            <w:tcW w:type="dxa" w:w="60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Понятно, какой fallback остаётся и когда он будет ограничен.</w:t>
            </w:r>
          </w:p>
        </w:tc>
        <w:tc>
          <w:tcPr>
            <w:tcW w:type="dxa" w:w="115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</w:r>
          </w:p>
        </w:tc>
      </w:tr>
      <w:tr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Support runbook</w:t>
            </w:r>
          </w:p>
        </w:tc>
        <w:tc>
          <w:tcPr>
            <w:tcW w:type="dxa" w:w="60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Поддержка знает, как помочь без обхода security policy.</w:t>
            </w:r>
          </w:p>
        </w:tc>
        <w:tc>
          <w:tcPr>
            <w:tcW w:type="dxa" w:w="115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</w:r>
          </w:p>
        </w:tc>
      </w:tr>
      <w:tr>
        <w:tc>
          <w:tcPr>
            <w:tcW w:type="dxa" w:w="3024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Risk segmentation</w:t>
            </w:r>
          </w:p>
        </w:tc>
        <w:tc>
          <w:tcPr>
            <w:tcW w:type="dxa" w:w="60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Выделены privileged/high-value accounts и обычные пользователи.</w:t>
            </w:r>
          </w:p>
        </w:tc>
        <w:tc>
          <w:tcPr>
            <w:tcW w:type="dxa" w:w="115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</w:r>
          </w:p>
        </w:tc>
      </w:tr>
      <w:tr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QA device matrix</w:t>
            </w:r>
          </w:p>
        </w:tc>
        <w:tc>
          <w:tcPr>
            <w:tcW w:type="dxa" w:w="60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Определены минимум Android/iOS/Windows/macOS + ключевые браузеры аудитории.</w:t>
            </w:r>
          </w:p>
        </w:tc>
        <w:tc>
          <w:tcPr>
            <w:tcW w:type="dxa" w:w="115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</w:r>
          </w:p>
        </w:tc>
      </w:tr>
      <w:tr>
        <w:tc>
          <w:tcPr>
            <w:tcW w:type="dxa" w:w="3024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UX copy / education</w:t>
            </w:r>
          </w:p>
        </w:tc>
        <w:tc>
          <w:tcPr>
            <w:tcW w:type="dxa" w:w="60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Есть понятные русские тексты: что такое ключ доступа, где хранится, как войти с другого устройства.</w:t>
            </w:r>
          </w:p>
        </w:tc>
        <w:tc>
          <w:tcPr>
            <w:tcW w:type="dxa" w:w="115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</w:r>
          </w:p>
        </w:tc>
      </w:tr>
      <w:tr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Security review</w:t>
            </w:r>
          </w:p>
        </w:tc>
        <w:tc>
          <w:tcPr>
            <w:tcW w:type="dxa" w:w="60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Проверяются origin/RP ID/challenge/session/recovery и logging.</w:t>
            </w:r>
          </w:p>
        </w:tc>
        <w:tc>
          <w:tcPr>
            <w:tcW w:type="dxa" w:w="115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</w:r>
          </w:p>
        </w:tc>
      </w:tr>
      <w:tr>
        <w:tc>
          <w:tcPr>
            <w:tcW w:type="dxa" w:w="3024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Rollback</w:t>
            </w:r>
          </w:p>
        </w:tc>
        <w:tc>
          <w:tcPr>
            <w:tcW w:type="dxa" w:w="60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Можно вернуть legacy flow без потери доступа при аварии пилота.</w:t>
            </w:r>
          </w:p>
        </w:tc>
        <w:tc>
          <w:tcPr>
            <w:tcW w:type="dxa" w:w="115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</w:r>
          </w:p>
        </w:tc>
      </w:tr>
    </w:tbl>
    <w:p>
      <w:pPr>
        <w:spacing w:after="2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7EE"/>
            <w:tcBorders>
              <w:top w:val="single" w:sz="4" w:color="EAF7EE"/>
              <w:left w:val="single" w:sz="18" w:color="157347"/>
              <w:bottom w:val="single" w:sz="4" w:color="EAF7EE"/>
              <w:right w:val="single" w:sz="4" w:color="EAF7EE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color w:val="157347"/>
                <w:sz w:val="21"/>
              </w:rPr>
              <w:t>Интерпретация score</w:t>
            </w:r>
          </w:p>
          <w:p>
            <w:pPr>
              <w:spacing w:after="40"/>
            </w:pPr>
            <w:r>
              <w:rPr>
                <w:rFonts w:ascii="Arial" w:hAnsi="Arial"/>
                <w:color w:val="243B53"/>
                <w:sz w:val="19"/>
              </w:rPr>
              <w:t>23–28: готово к пилоту. 17–22: пилот только после закрытия слабых пунктов. ≤16: сначала подготовка auth/recovery/telemetry. Балл не отменяет красные флаги.</w:t>
            </w:r>
          </w:p>
        </w:tc>
      </w:tr>
    </w:tbl>
    <w:p>
      <w:pPr>
        <w:spacing w:after="20"/>
      </w:pPr>
    </w:p>
    <w:p>
      <w:pPr>
        <w:pStyle w:val="Heading1"/>
      </w:pPr>
      <w:r>
        <w:t>3. Красные флаги</w:t>
      </w:r>
    </w:p>
    <w:p>
      <w:pPr>
        <w:pStyle w:val="ListBullet"/>
        <w:spacing w:after="60"/>
      </w:pPr>
      <w:r>
        <w:t>Recovery неизвестен или строится на одном слабом SMS без дополнительных проверок.</w:t>
      </w:r>
    </w:p>
    <w:p>
      <w:pPr>
        <w:pStyle w:val="ListBullet"/>
        <w:spacing w:after="60"/>
      </w:pPr>
      <w:r>
        <w:t>В пилоте невозможно восстановить доступ пользователю, потерявшему единственный device-bound key.</w:t>
      </w:r>
    </w:p>
    <w:p>
      <w:pPr>
        <w:pStyle w:val="ListBullet"/>
        <w:spacing w:after="60"/>
      </w:pPr>
      <w:r>
        <w:t>Нет стабильного RP ID/domain и непонятно, какие origin допустимы.</w:t>
      </w:r>
    </w:p>
    <w:p>
      <w:pPr>
        <w:pStyle w:val="ListBullet"/>
        <w:spacing w:after="60"/>
      </w:pPr>
      <w:r>
        <w:t>Нет baseline и telemetry — эффект нельзя измерить.</w:t>
      </w:r>
    </w:p>
    <w:p>
      <w:pPr>
        <w:pStyle w:val="ListBullet"/>
        <w:spacing w:after="60"/>
      </w:pPr>
      <w:r>
        <w:t>Большая часть аудитории использует embedded WebView/старые среды, но compatibility spike не выполнен.</w:t>
      </w:r>
    </w:p>
    <w:p>
      <w:pPr>
        <w:pStyle w:val="ListBullet"/>
        <w:spacing w:after="60"/>
      </w:pPr>
      <w:r>
        <w:t>Есть общие аккаунты или общий системный профиль, а passkey трактуется как персональный credential.</w:t>
      </w:r>
    </w:p>
    <w:p>
      <w:pPr>
        <w:pStyle w:val="Heading1"/>
      </w:pPr>
      <w:r>
        <w:t>4. Pilot brief — шаблон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448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7776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Что заполнить</w:t>
            </w:r>
          </w:p>
        </w:tc>
      </w:tr>
      <w:tr>
        <w:tc>
          <w:tcPr>
            <w:tcW w:type="dxa" w:w="24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Цель пилота</w:t>
            </w:r>
          </w:p>
        </w:tc>
        <w:tc>
          <w:tcPr>
            <w:tcW w:type="dxa" w:w="777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Например: снизить phishing risk и SMS fallback, не ухудшив login success.</w:t>
            </w:r>
          </w:p>
        </w:tc>
      </w:tr>
      <w:tr>
        <w:tc>
          <w:tcPr>
            <w:tcW w:type="dxa" w:w="24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Сегмент</w:t>
            </w:r>
          </w:p>
        </w:tc>
        <w:tc>
          <w:tcPr>
            <w:tcW w:type="dxa" w:w="7776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50–200 клиентов или 20–100 сотрудников; выделить privileged отдельно.</w:t>
            </w:r>
          </w:p>
        </w:tc>
      </w:tr>
      <w:tr>
        <w:tc>
          <w:tcPr>
            <w:tcW w:type="dxa" w:w="24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Baseline период</w:t>
            </w:r>
          </w:p>
        </w:tc>
        <w:tc>
          <w:tcPr>
            <w:tcW w:type="dxa" w:w="777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7–14 дней до запуска.</w:t>
            </w:r>
          </w:p>
        </w:tc>
      </w:tr>
      <w:tr>
        <w:tc>
          <w:tcPr>
            <w:tcW w:type="dxa" w:w="24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Пилот</w:t>
            </w:r>
          </w:p>
        </w:tc>
        <w:tc>
          <w:tcPr>
            <w:tcW w:type="dxa" w:w="7776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30 дней с двумя контрольными точками: день 7 и день 21.</w:t>
            </w:r>
          </w:p>
        </w:tc>
      </w:tr>
      <w:tr>
        <w:tc>
          <w:tcPr>
            <w:tcW w:type="dxa" w:w="24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Enrollment</w:t>
            </w:r>
          </w:p>
        </w:tc>
        <w:tc>
          <w:tcPr>
            <w:tcW w:type="dxa" w:w="777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После успешного legacy login предложить создать passkey; не блокировать отказ на старте.</w:t>
            </w:r>
          </w:p>
        </w:tc>
      </w:tr>
      <w:tr>
        <w:tc>
          <w:tcPr>
            <w:tcW w:type="dxa" w:w="24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Fallback</w:t>
            </w:r>
          </w:p>
        </w:tc>
        <w:tc>
          <w:tcPr>
            <w:tcW w:type="dxa" w:w="7776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Определить пароль/SMS/email/TOTP/другой метод; логировать причину fallback.</w:t>
            </w:r>
          </w:p>
        </w:tc>
      </w:tr>
      <w:tr>
        <w:tc>
          <w:tcPr>
            <w:tcW w:type="dxa" w:w="24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Recovery tests</w:t>
            </w:r>
          </w:p>
        </w:tc>
        <w:tc>
          <w:tcPr>
            <w:tcW w:type="dxa" w:w="777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Lost phone; new phone; deleted all passkeys; cross-device; support-assisted recovery.</w:t>
            </w:r>
          </w:p>
        </w:tc>
      </w:tr>
      <w:tr>
        <w:tc>
          <w:tcPr>
            <w:tcW w:type="dxa" w:w="24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Support</w:t>
            </w:r>
          </w:p>
        </w:tc>
        <w:tc>
          <w:tcPr>
            <w:tcW w:type="dxa" w:w="7776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FAQ + runbook + owner инцидентов + временный rollback.</w:t>
            </w:r>
          </w:p>
        </w:tc>
      </w:tr>
      <w:tr>
        <w:tc>
          <w:tcPr>
            <w:tcW w:type="dxa" w:w="24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Rollback trigger</w:t>
            </w:r>
          </w:p>
        </w:tc>
        <w:tc>
          <w:tcPr>
            <w:tcW w:type="dxa" w:w="777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Critical lockout, массовая ошибка browser/device, recovery fail, рост support &gt; threshold.</w:t>
            </w:r>
          </w:p>
        </w:tc>
      </w:tr>
    </w:tbl>
    <w:p>
      <w:pPr>
        <w:spacing w:after="20"/>
      </w:pPr>
    </w:p>
    <w:p>
      <w:pPr>
        <w:pStyle w:val="Heading1"/>
      </w:pPr>
      <w:r>
        <w:t>5. Метрики и gates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2448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Метрика</w:t>
            </w:r>
          </w:p>
        </w:tc>
        <w:tc>
          <w:tcPr>
            <w:tcW w:type="dxa" w:w="4752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Формула</w:t>
            </w:r>
          </w:p>
        </w:tc>
        <w:tc>
          <w:tcPr>
            <w:tcW w:type="dxa" w:w="3024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Gate</w:t>
            </w:r>
          </w:p>
        </w:tc>
      </w:tr>
      <w:tr>
        <w:tc>
          <w:tcPr>
            <w:tcW w:type="dxa" w:w="24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Enrollment rate</w:t>
            </w:r>
          </w:p>
        </w:tc>
        <w:tc>
          <w:tcPr>
            <w:tcW w:type="dxa" w:w="475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Создали passkey / приглашённые</w:t>
            </w:r>
          </w:p>
        </w:tc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≥60%</w:t>
            </w:r>
          </w:p>
        </w:tc>
      </w:tr>
      <w:tr>
        <w:tc>
          <w:tcPr>
            <w:tcW w:type="dxa" w:w="24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Passkey auth success</w:t>
            </w:r>
          </w:p>
        </w:tc>
        <w:tc>
          <w:tcPr>
            <w:tcW w:type="dxa" w:w="475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Успешные passkey auth / попытки passkey auth</w:t>
            </w:r>
          </w:p>
        </w:tc>
        <w:tc>
          <w:tcPr>
            <w:tcW w:type="dxa" w:w="3024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≥98%</w:t>
            </w:r>
          </w:p>
        </w:tc>
      </w:tr>
      <w:tr>
        <w:tc>
          <w:tcPr>
            <w:tcW w:type="dxa" w:w="24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Legacy/SMS reduction</w:t>
            </w:r>
          </w:p>
        </w:tc>
        <w:tc>
          <w:tcPr>
            <w:tcW w:type="dxa" w:w="475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1 − SMS после / SMS baseline</w:t>
            </w:r>
          </w:p>
        </w:tc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≥40% после стабилизации</w:t>
            </w:r>
          </w:p>
        </w:tc>
      </w:tr>
      <w:tr>
        <w:tc>
          <w:tcPr>
            <w:tcW w:type="dxa" w:w="24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Recovery success</w:t>
            </w:r>
          </w:p>
        </w:tc>
        <w:tc>
          <w:tcPr>
            <w:tcW w:type="dxa" w:w="475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Успешные recovery кейсы / все recovery тесты</w:t>
            </w:r>
          </w:p>
        </w:tc>
        <w:tc>
          <w:tcPr>
            <w:tcW w:type="dxa" w:w="3024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≥95%</w:t>
            </w:r>
          </w:p>
        </w:tc>
      </w:tr>
      <w:tr>
        <w:tc>
          <w:tcPr>
            <w:tcW w:type="dxa" w:w="24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Support change</w:t>
            </w:r>
          </w:p>
        </w:tc>
        <w:tc>
          <w:tcPr>
            <w:tcW w:type="dxa" w:w="475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(тикеты пилота − baseline) / baseline</w:t>
            </w:r>
          </w:p>
        </w:tc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Не &gt; +20% первые 2 недели; далее снижение</w:t>
            </w:r>
          </w:p>
        </w:tc>
      </w:tr>
      <w:tr>
        <w:tc>
          <w:tcPr>
            <w:tcW w:type="dxa" w:w="24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Critical lockout</w:t>
            </w:r>
          </w:p>
        </w:tc>
        <w:tc>
          <w:tcPr>
            <w:tcW w:type="dxa" w:w="475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Пользователь не может восстановить доступ штатно</w:t>
            </w:r>
          </w:p>
        </w:tc>
        <w:tc>
          <w:tcPr>
            <w:tcW w:type="dxa" w:w="3024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0</w:t>
            </w:r>
          </w:p>
        </w:tc>
      </w:tr>
      <w:tr>
        <w:tc>
          <w:tcPr>
            <w:tcW w:type="dxa" w:w="24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Median login time</w:t>
            </w:r>
          </w:p>
        </w:tc>
        <w:tc>
          <w:tcPr>
            <w:tcW w:type="dxa" w:w="475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Сравнение passkey vs legacy</w:t>
            </w:r>
          </w:p>
        </w:tc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Желательно −30% или лучше; не hard gate для безопасности</w:t>
            </w:r>
          </w:p>
        </w:tc>
      </w:tr>
    </w:tbl>
    <w:p>
      <w:pPr>
        <w:spacing w:after="20"/>
      </w:pPr>
    </w:p>
    <w:p>
      <w:pPr>
        <w:pStyle w:val="Heading1"/>
      </w:pPr>
      <w:r>
        <w:t>6. План 30 дней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1728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Период</w:t>
            </w:r>
          </w:p>
        </w:tc>
        <w:tc>
          <w:tcPr>
            <w:tcW w:type="dxa" w:w="6048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Действия</w:t>
            </w:r>
          </w:p>
        </w:tc>
        <w:tc>
          <w:tcPr>
            <w:tcW w:type="dxa" w:w="2448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Выход</w:t>
            </w:r>
          </w:p>
        </w:tc>
      </w:tr>
      <w:tr>
        <w:tc>
          <w:tcPr>
            <w:tcW w:type="dxa" w:w="172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До дня 0</w:t>
            </w:r>
          </w:p>
        </w:tc>
        <w:tc>
          <w:tcPr>
            <w:tcW w:type="dxa" w:w="60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Baseline, архитектурный spike, QA matrix, recovery tabletop, support training.</w:t>
            </w:r>
          </w:p>
        </w:tc>
        <w:tc>
          <w:tcPr>
            <w:tcW w:type="dxa" w:w="24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Go/no-go на пилот.</w:t>
            </w:r>
          </w:p>
        </w:tc>
      </w:tr>
      <w:tr>
        <w:tc>
          <w:tcPr>
            <w:tcW w:type="dxa" w:w="172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Дни 1–3</w:t>
            </w:r>
          </w:p>
        </w:tc>
        <w:tc>
          <w:tcPr>
            <w:tcW w:type="dxa" w:w="60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5–10 внутренних пользователей; проверка регистрации, входа, удаления, другого устройства.</w:t>
            </w:r>
          </w:p>
        </w:tc>
        <w:tc>
          <w:tcPr>
            <w:tcW w:type="dxa" w:w="24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Нет P0/P1 дефектов.</w:t>
            </w:r>
          </w:p>
        </w:tc>
      </w:tr>
      <w:tr>
        <w:tc>
          <w:tcPr>
            <w:tcW w:type="dxa" w:w="172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Дни 4–10</w:t>
            </w:r>
          </w:p>
        </w:tc>
        <w:tc>
          <w:tcPr>
            <w:tcW w:type="dxa" w:w="60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25–50 пользователей; сбор error taxonomy и support вопросов.</w:t>
            </w:r>
          </w:p>
        </w:tc>
        <w:tc>
          <w:tcPr>
            <w:tcW w:type="dxa" w:w="24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UX/recovery fixes.</w:t>
            </w:r>
          </w:p>
        </w:tc>
      </w:tr>
      <w:tr>
        <w:tc>
          <w:tcPr>
            <w:tcW w:type="dxa" w:w="172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Дни 11–21</w:t>
            </w:r>
          </w:p>
        </w:tc>
        <w:tc>
          <w:tcPr>
            <w:tcW w:type="dxa" w:w="60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Расширение до 100–200 при PASS; passkey preferred для пилотной группы.</w:t>
            </w:r>
          </w:p>
        </w:tc>
        <w:tc>
          <w:tcPr>
            <w:tcW w:type="dxa" w:w="24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Стабильные метрики.</w:t>
            </w:r>
          </w:p>
        </w:tc>
      </w:tr>
      <w:tr>
        <w:tc>
          <w:tcPr>
            <w:tcW w:type="dxa" w:w="172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Дни 22–30</w:t>
            </w:r>
          </w:p>
        </w:tc>
        <w:tc>
          <w:tcPr>
            <w:tcW w:type="dxa" w:w="60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Recovery drills, TCO факт, финальный review gates.</w:t>
            </w:r>
          </w:p>
        </w:tc>
        <w:tc>
          <w:tcPr>
            <w:tcW w:type="dxa" w:w="24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Решение: expand / rework / stop.</w:t>
            </w:r>
          </w:p>
        </w:tc>
      </w:tr>
    </w:tbl>
    <w:p>
      <w:pPr>
        <w:spacing w:after="20"/>
      </w:pPr>
    </w:p>
    <w:p>
      <w:pPr>
        <w:pStyle w:val="Heading1"/>
      </w:pPr>
      <w:r>
        <w:t>7. Решение после пилота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2016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5472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Условия</w:t>
            </w:r>
          </w:p>
        </w:tc>
        <w:tc>
          <w:tcPr>
            <w:tcW w:type="dxa" w:w="2880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Действие</w:t>
            </w:r>
          </w:p>
        </w:tc>
      </w:tr>
      <w:tr>
        <w:tc>
          <w:tcPr>
            <w:tcW w:type="dxa" w:w="201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РАСШИРЯТЬ</w:t>
            </w:r>
          </w:p>
        </w:tc>
        <w:tc>
          <w:tcPr>
            <w:tcW w:type="dxa" w:w="547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Gates выполнены, нет critical lockout, TCO/риски приемлемы.</w:t>
            </w:r>
          </w:p>
        </w:tc>
        <w:tc>
          <w:tcPr>
            <w:tcW w:type="dxa" w:w="288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Passkey preferred шире; legacy остаётся контролируемым fallback.</w:t>
            </w:r>
          </w:p>
        </w:tc>
      </w:tr>
      <w:tr>
        <w:tc>
          <w:tcPr>
            <w:tcW w:type="dxa" w:w="2016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ПЕРЕСЧИТАТЬ</w:t>
            </w:r>
          </w:p>
        </w:tc>
        <w:tc>
          <w:tcPr>
            <w:tcW w:type="dxa" w:w="547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Техника работает, но adoption/ROI/support хуже ожиданий.</w:t>
            </w:r>
          </w:p>
        </w:tc>
        <w:tc>
          <w:tcPr>
            <w:tcW w:type="dxa" w:w="2880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Исправить UX, target segment, recovery; повторить 2–4 недели.</w:t>
            </w:r>
          </w:p>
        </w:tc>
      </w:tr>
      <w:tr>
        <w:tc>
          <w:tcPr>
            <w:tcW w:type="dxa" w:w="201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ОСТАНОВИТЬ</w:t>
            </w:r>
          </w:p>
        </w:tc>
        <w:tc>
          <w:tcPr>
            <w:tcW w:type="dxa" w:w="547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Recovery/coverage/security не готовы или массовые lockout.</w:t>
            </w:r>
          </w:p>
        </w:tc>
        <w:tc>
          <w:tcPr>
            <w:tcW w:type="dxa" w:w="288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Вернуть legacy как primary; закрыть архитектурные проблемы.</w:t>
            </w:r>
          </w:p>
        </w:tc>
      </w:tr>
    </w:tbl>
    <w:p>
      <w:pPr>
        <w:spacing w:after="20"/>
      </w:pPr>
    </w:p>
    <w:p>
      <w:pPr>
        <w:pStyle w:val="Heading1"/>
      </w:pPr>
      <w:r>
        <w:t>Источники и дата проверки</w:t>
      </w:r>
    </w:p>
    <w:p>
      <w:pPr>
        <w:pStyle w:val="Smallnote"/>
      </w:pPr>
      <w:r>
        <w:t>Фактчек: 09.09.2026. Сценарные цифры и пороги в документах маркируются отдельно и не выдаются за рыночный факт.</w:t>
      </w:r>
    </w:p>
    <w:p>
      <w:pPr>
        <w:spacing w:after="100"/>
      </w:pPr>
      <w:r>
        <w:rPr>
          <w:b/>
        </w:rPr>
        <w:t xml:space="preserve">1. W3C — Web Authentication Level 3 Recommendation — </w:t>
      </w:r>
      <w:hyperlink r:id="rId9">
        <w:r>
          <w:rPr>
            <w:color w:val="0E7490"/>
            <w:u w:val="single"/>
          </w:rPr>
          <w:t>открыть источник</w:t>
        </w:r>
      </w:hyperlink>
      <w:r>
        <w:t>. Нормативная спецификация WebAuthn Level 3; публичные ключи, привязка credential к relying party и origin.</w:t>
      </w:r>
    </w:p>
    <w:p>
      <w:pPr>
        <w:spacing w:after="100"/>
      </w:pPr>
      <w:r>
        <w:rPr>
          <w:b/>
        </w:rPr>
        <w:t xml:space="preserve">2. FIDO Alliance — The State of Passkeys 2026 — </w:t>
      </w:r>
      <w:hyperlink r:id="rId10">
        <w:r>
          <w:rPr>
            <w:color w:val="0E7490"/>
            <w:u w:val="single"/>
          </w:rPr>
          <w:t>открыть источник</w:t>
        </w:r>
      </w:hyperlink>
      <w:r>
        <w:t>. Оценка масштаба внедрения passkeys в 2026 году: 5 млрд активных passkeys; данные опросов потребителей и организаций.</w:t>
      </w:r>
    </w:p>
    <w:p>
      <w:pPr>
        <w:spacing w:after="100"/>
      </w:pPr>
      <w:r>
        <w:rPr>
          <w:b/>
        </w:rPr>
        <w:t xml:space="preserve">3. FIDO Alliance — Passkeys — </w:t>
      </w:r>
      <w:hyperlink r:id="rId11">
        <w:r>
          <w:rPr>
            <w:color w:val="0E7490"/>
            <w:u w:val="single"/>
          </w:rPr>
          <w:t>открыть источник</w:t>
        </w:r>
      </w:hyperlink>
      <w:r>
        <w:t>. Объяснение phishing-resistant модели, отсутствия паролей на сервере и роли локальной биометрии.</w:t>
      </w:r>
    </w:p>
    <w:p>
      <w:pPr>
        <w:spacing w:after="100"/>
      </w:pPr>
      <w:r>
        <w:rPr>
          <w:b/>
        </w:rPr>
        <w:t xml:space="preserve">4. NIST SP 800-63B — Authenticators — </w:t>
      </w:r>
      <w:hyperlink r:id="rId12">
        <w:r>
          <w:rPr>
            <w:color w:val="0E7490"/>
            <w:u w:val="single"/>
          </w:rPr>
          <w:t>открыть источник</w:t>
        </w:r>
      </w:hyperlink>
      <w:r>
        <w:t>. OTP с ручным вводом не считается phishing-resistant; PSTN/SMS out-of-band относится к restricted authenticator.</w:t>
      </w:r>
    </w:p>
    <w:p>
      <w:pPr>
        <w:spacing w:after="100"/>
      </w:pPr>
      <w:r>
        <w:rPr>
          <w:b/>
        </w:rPr>
        <w:t xml:space="preserve">5. Google for Developers — Passkeys user journeys — </w:t>
      </w:r>
      <w:hyperlink r:id="rId13">
        <w:r>
          <w:rPr>
            <w:color w:val="0E7490"/>
            <w:u w:val="single"/>
          </w:rPr>
          <w:t>открыть источник</w:t>
        </w:r>
      </w:hyperlink>
      <w:r>
        <w:t>. Практика постепенного перехода, несколько passkeys на аккаунт, recovery и fallback.</w:t>
      </w:r>
    </w:p>
    <w:p>
      <w:pPr>
        <w:spacing w:after="100"/>
      </w:pPr>
      <w:r>
        <w:rPr>
          <w:b/>
        </w:rPr>
        <w:t xml:space="preserve">6. Google for Developers — Server-side passkey registration — </w:t>
      </w:r>
      <w:hyperlink r:id="rId14">
        <w:r>
          <w:rPr>
            <w:color w:val="0E7490"/>
            <w:u w:val="single"/>
          </w:rPr>
          <w:t>открыть источник</w:t>
        </w:r>
      </w:hyperlink>
      <w:r>
        <w:t>. Серверная регистрация и рекомендация использовать проверенные WebAuthn/FIDO библиотеки.</w:t>
      </w:r>
    </w:p>
    <w:p>
      <w:pPr>
        <w:spacing w:after="100"/>
      </w:pPr>
      <w:r>
        <w:rPr>
          <w:b/>
        </w:rPr>
        <w:t xml:space="preserve">7. passkeys.dev — Device Support — </w:t>
      </w:r>
      <w:hyperlink r:id="rId15">
        <w:r>
          <w:rPr>
            <w:color w:val="0E7490"/>
            <w:u w:val="single"/>
          </w:rPr>
          <w:t>открыть источник</w:t>
        </w:r>
      </w:hyperlink>
      <w:r>
        <w:t>. Матрица поддержки passkeys, cross-device authentication и credential managers на основных ОС/браузерах.</w:t>
      </w:r>
    </w:p>
    <w:p>
      <w:pPr>
        <w:spacing w:after="100"/>
      </w:pPr>
      <w:r>
        <w:rPr>
          <w:b/>
        </w:rPr>
        <w:t xml:space="preserve">8. Microsoft Learn — passkeys by default; retirement of Microsoft-provided SMS/voice — </w:t>
      </w:r>
      <w:hyperlink r:id="rId16">
        <w:r>
          <w:rPr>
            <w:color w:val="0E7490"/>
            <w:u w:val="single"/>
          </w:rPr>
          <w:t>открыть источник</w:t>
        </w:r>
      </w:hyperlink>
      <w:r>
        <w:t>. С 1 сентября 2026 года passkeys становятся default-направлением для затронутых Entra-пользователей; Microsoft-managed SMS/voice выводятся 1 февраля 2027 года.</w:t>
      </w:r>
    </w:p>
    <w:p>
      <w:pPr>
        <w:spacing w:after="100"/>
      </w:pPr>
      <w:r>
        <w:rPr>
          <w:b/>
        </w:rPr>
        <w:t xml:space="preserve">9. FIDO Alliance — Displace Password + OTP Authentication with Passkeys — </w:t>
      </w:r>
      <w:hyperlink r:id="rId17">
        <w:r>
          <w:rPr>
            <w:color w:val="0E7490"/>
            <w:u w:val="single"/>
          </w:rPr>
          <w:t>открыть источник</w:t>
        </w:r>
      </w:hyperlink>
      <w:r>
        <w:t>. Миграция password+OTP, пилотирование, enrollment и account recovery.</w:t>
      </w:r>
    </w:p>
    <w:p>
      <w:pPr>
        <w:spacing w:after="100"/>
      </w:pPr>
      <w:r>
        <w:rPr>
          <w:b/>
        </w:rPr>
        <w:t xml:space="preserve">10. МТС Exolve — изменение тарифов на SMS с 1 августа 2026 года — </w:t>
      </w:r>
      <w:hyperlink r:id="rId18">
        <w:r>
          <w:rPr>
            <w:color w:val="0E7490"/>
            <w:u w:val="single"/>
          </w:rPr>
          <w:t>открыть источник</w:t>
        </w:r>
      </w:hyperlink>
      <w:r>
        <w:t>. Пример актуальной сложной пакетной тарификации сервисных/авторизационных SMS; показывает, почему в ROI нужно подставлять фактическую цену из договора.</w:t>
      </w:r>
    </w:p>
    <w:p>
      <w:pPr>
        <w:spacing w:after="100"/>
      </w:pPr>
      <w:r>
        <w:rPr>
          <w:b/>
        </w:rPr>
        <w:t xml:space="preserve">11. МТС Exolve — плата за шаблоны SMS на Мегафон с 1 сентября 2026 года — </w:t>
      </w:r>
      <w:hyperlink r:id="rId19">
        <w:r>
          <w:rPr>
            <w:color w:val="0E7490"/>
            <w:u w:val="single"/>
          </w:rPr>
          <w:t>открыть источник</w:t>
        </w:r>
      </w:hyperlink>
      <w:r>
        <w:t>. Пример дополнительных фиксированных расходов на авторизационные/сервисные шаблоны у конкретного провайдера.</w:t>
      </w:r>
    </w:p>
    <w:sectPr w:rsidR="00FC693F" w:rsidRPr="0006063C" w:rsidSect="00034616">
      <w:footerReference w:type="default" r:id="rId2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486581"/>
        <w:sz w:val="16"/>
      </w:rPr>
      <w:t>Бизнес под микроскопом ·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02A4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E749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40"/>
      <w:outlineLvl w:val="2"/>
    </w:pPr>
    <w:rPr>
      <w:rFonts w:asciiTheme="majorHAnsi" w:eastAsiaTheme="majorEastAsia" w:hAnsiTheme="majorHAnsi" w:cstheme="majorBidi" w:ascii="Arial" w:hAnsi="Arial"/>
      <w:b/>
      <w:bCs/>
      <w:color w:val="243B5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02A4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/>
    </w:pPr>
    <w:rPr>
      <w:rFonts w:ascii="Arial" w:hAnsi="Arial"/>
      <w:color w:val="486581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w3.org/TR/2026/REC-webauthn-3-20260825/" TargetMode="External"/><Relationship Id="rId10" Type="http://schemas.openxmlformats.org/officeDocument/2006/relationships/hyperlink" Target="https://fidoalliance.org/the-state-of-passkeys-2026-global-consumer-and-workforce-report/" TargetMode="External"/><Relationship Id="rId11" Type="http://schemas.openxmlformats.org/officeDocument/2006/relationships/hyperlink" Target="https://fidoalliance.org/passkeys/" TargetMode="External"/><Relationship Id="rId12" Type="http://schemas.openxmlformats.org/officeDocument/2006/relationships/hyperlink" Target="https://pages.nist.gov/800-63-4/sp800-63b/authenticators/" TargetMode="External"/><Relationship Id="rId13" Type="http://schemas.openxmlformats.org/officeDocument/2006/relationships/hyperlink" Target="https://developers.google.com/identity/passkeys/ux/user-journeys" TargetMode="External"/><Relationship Id="rId14" Type="http://schemas.openxmlformats.org/officeDocument/2006/relationships/hyperlink" Target="https://developers.google.com/identity/passkeys/developer-guides/server-registration" TargetMode="External"/><Relationship Id="rId15" Type="http://schemas.openxmlformats.org/officeDocument/2006/relationships/hyperlink" Target="https://passkeys.dev/device-support/" TargetMode="External"/><Relationship Id="rId16" Type="http://schemas.openxmlformats.org/officeDocument/2006/relationships/hyperlink" Target="https://learn.microsoft.com/ru-ru/entra/identity/authentication/concept-sms-voice-retirement" TargetMode="External"/><Relationship Id="rId17" Type="http://schemas.openxmlformats.org/officeDocument/2006/relationships/hyperlink" Target="https://fidoalliance.org/white-paper-displace-password-otp-authentication-with-passkeys/" TargetMode="External"/><Relationship Id="rId18" Type="http://schemas.openxmlformats.org/officeDocument/2006/relationships/hyperlink" Target="https://community.exolve.ru/news/izmenenie-tarifov-na-sms-rassylku-s-1-avgusta-2026-goda/" TargetMode="External"/><Relationship Id="rId19" Type="http://schemas.openxmlformats.org/officeDocument/2006/relationships/hyperlink" Target="https://community.exolve.ru/news/obnovlenie-po-shablonam-sms-s-1-sentyabrya-megafon/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