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40"/>
      </w:pPr>
      <w:r>
        <w:rPr>
          <w:rFonts w:ascii="Arial" w:hAnsi="Arial"/>
          <w:b/>
          <w:color w:val="0E7490"/>
          <w:sz w:val="18"/>
        </w:rPr>
        <w:t>PLAYBOOK ВНЕДРЕНИЯ</w:t>
      </w:r>
    </w:p>
    <w:p>
      <w:pPr>
        <w:pStyle w:val="Title"/>
      </w:pPr>
      <w:r>
        <w:t>Implementation playbook: внедрение passkeys / WebAuthn</w:t>
      </w:r>
    </w:p>
    <w:p>
      <w:pPr>
        <w:spacing w:after="200"/>
      </w:pPr>
      <w:r>
        <w:rPr>
          <w:rFonts w:ascii="Arial" w:hAnsi="Arial"/>
          <w:color w:val="486581"/>
          <w:sz w:val="23"/>
        </w:rPr>
        <w:t>Пошаговый рабочий контур от baseline и архитектуры до controlled rollout. Не заменяет code review и security assessment конкретной системы.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80"/>
        <w:gridCol w:w="6912"/>
      </w:tblGrid>
      <w:tr>
        <w:tc>
          <w:tcPr>
            <w:tcW w:type="dxa" w:w="5112"/>
            <w:shd w:fill="EEF6F8"/>
            <w:vAlign w:val="center"/>
            <w:tcBorders>
              <w:top w:val="single" w:sz="6" w:color="CBD5E1"/>
              <w:left w:val="single" w:sz="6" w:color="CBD5E1"/>
              <w:bottom w:val="single" w:sz="6" w:color="CBD5E1"/>
              <w:right w:val="single" w:sz="6" w:color="CBD5E1"/>
            </w:tcBorders>
          </w:tcPr>
          <w:p>
            <w:r>
              <w:rPr>
                <w:rFonts w:ascii="Arial" w:hAnsi="Arial"/>
                <w:b/>
                <w:color w:val="102A43"/>
                <w:sz w:val="18"/>
              </w:rPr>
              <w:t>Дата фактчека</w:t>
            </w:r>
          </w:p>
        </w:tc>
        <w:tc>
          <w:tcPr>
            <w:tcW w:type="dxa" w:w="5112"/>
            <w:shd w:fill="F4F7FA"/>
            <w:vAlign w:val="center"/>
            <w:tcBorders>
              <w:top w:val="single" w:sz="6" w:color="CBD5E1"/>
              <w:left w:val="single" w:sz="6" w:color="CBD5E1"/>
              <w:bottom w:val="single" w:sz="6" w:color="CBD5E1"/>
              <w:right w:val="single" w:sz="6" w:color="CBD5E1"/>
            </w:tcBorders>
          </w:tcPr>
          <w:p>
            <w:r>
              <w:rPr>
                <w:rFonts w:ascii="Arial" w:hAnsi="Arial"/>
                <w:b w:val="0"/>
                <w:color w:val="243B53"/>
                <w:sz w:val="18"/>
              </w:rPr>
              <w:t>09.09.2026</w:t>
            </w:r>
          </w:p>
        </w:tc>
      </w:tr>
    </w:tbl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EAF7EE"/>
            <w:tcBorders>
              <w:top w:val="single" w:sz="4" w:color="EAF7EE"/>
              <w:left w:val="single" w:sz="18" w:color="157347"/>
              <w:bottom w:val="single" w:sz="4" w:color="EAF7EE"/>
              <w:right w:val="single" w:sz="4" w:color="EAF7EE"/>
            </w:tcBorders>
          </w:tcPr>
          <w:p>
            <w:pPr>
              <w:spacing w:after="60"/>
            </w:pPr>
            <w:r>
              <w:rPr>
                <w:rFonts w:ascii="Arial" w:hAnsi="Arial"/>
                <w:b/>
                <w:color w:val="157347"/>
                <w:sz w:val="21"/>
              </w:rPr>
              <w:t>Главный принцип</w:t>
            </w:r>
          </w:p>
          <w:p>
            <w:pPr>
              <w:spacing w:after="40"/>
            </w:pPr>
            <w:r>
              <w:rPr>
                <w:rFonts w:ascii="Arial" w:hAnsi="Arial"/>
                <w:color w:val="243B53"/>
                <w:sz w:val="19"/>
              </w:rPr>
              <w:t>Не начинайте с отключения паролей/SMS. Начинайте с lifecycle: registration → authentication → multiple credentials → recovery → telemetry → pilot → постепенное предпочтение passkey.</w:t>
            </w:r>
          </w:p>
        </w:tc>
      </w:tr>
    </w:tbl>
    <w:p>
      <w:pPr>
        <w:spacing w:after="20"/>
      </w:pPr>
    </w:p>
    <w:p>
      <w:pPr>
        <w:pStyle w:val="Heading1"/>
      </w:pPr>
      <w:r>
        <w:t>Шаг 0. Baseline и владелец решения</w:t>
      </w:r>
    </w:p>
    <w:p>
      <w:pPr>
        <w:pStyle w:val="ListBullet"/>
        <w:spacing w:after="60"/>
      </w:pPr>
      <w:r>
        <w:t>Назначьте product owner и technical owner auth.</w:t>
      </w:r>
    </w:p>
    <w:p>
      <w:pPr>
        <w:pStyle w:val="ListBullet"/>
        <w:spacing w:after="60"/>
      </w:pPr>
      <w:r>
        <w:t>Зафиксируйте текущую схему: identifier, password, SMS/TOTP, social login, recovery, session.</w:t>
      </w:r>
    </w:p>
    <w:p>
      <w:pPr>
        <w:pStyle w:val="ListBullet"/>
        <w:spacing w:after="60"/>
      </w:pPr>
      <w:r>
        <w:t>Снимите 7–14 дней baseline: логины, ошибки, SMS, reset, support, device/browser.</w:t>
      </w:r>
    </w:p>
    <w:p>
      <w:pPr>
        <w:pStyle w:val="ListBullet"/>
        <w:spacing w:after="60"/>
      </w:pPr>
      <w:r>
        <w:t>Выделите high-risk roles/accounts.</w:t>
      </w:r>
    </w:p>
    <w:p>
      <w:pPr>
        <w:pStyle w:val="Heading1"/>
      </w:pPr>
      <w:r>
        <w:t>Шаг 1. Определите deployment model</w:t>
      </w:r>
    </w:p>
    <w:p>
      <w:pPr>
        <w:pStyle w:val="ListBullet"/>
        <w:spacing w:after="60"/>
      </w:pPr>
      <w:r>
        <w:t>B2C по умолчанию: synced passkeys + возможность нескольких credentials.</w:t>
      </w:r>
    </w:p>
    <w:p>
      <w:pPr>
        <w:pStyle w:val="ListBullet"/>
        <w:spacing w:after="60"/>
      </w:pPr>
      <w:r>
        <w:t>Privileged workforce: рассмотрите device-bound passkeys/FIDO2 security keys.</w:t>
      </w:r>
    </w:p>
    <w:p>
      <w:pPr>
        <w:pStyle w:val="ListBullet"/>
        <w:spacing w:after="60"/>
      </w:pPr>
      <w:r>
        <w:t>Решите, нужен ли passkey как primary factor или только phishing-resistant MFA/step-up.</w:t>
      </w:r>
    </w:p>
    <w:p>
      <w:pPr>
        <w:pStyle w:val="ListBullet"/>
        <w:spacing w:after="60"/>
      </w:pPr>
      <w:r>
        <w:t>Опишите fallback и срок его жизни.</w:t>
      </w:r>
    </w:p>
    <w:p>
      <w:pPr>
        <w:pStyle w:val="Heading1"/>
      </w:pPr>
      <w:r>
        <w:t>Шаг 2. Подготовьте WebAuthn backend</w:t>
      </w:r>
    </w:p>
    <w:p>
      <w:pPr>
        <w:pStyle w:val="ListBullet"/>
        <w:spacing w:after="60"/>
      </w:pPr>
      <w:r>
        <w:t>Генерируйте непредсказуемый challenge на каждую ceremony и связывайте его с короткоживущей серверной транзакцией.</w:t>
      </w:r>
    </w:p>
    <w:p>
      <w:pPr>
        <w:pStyle w:val="ListBullet"/>
        <w:spacing w:after="60"/>
      </w:pPr>
      <w:r>
        <w:t>Настройте корректные RP ID/origin и HTTPS.</w:t>
      </w:r>
    </w:p>
    <w:p>
      <w:pPr>
        <w:pStyle w:val="ListBullet"/>
        <w:spacing w:after="60"/>
      </w:pPr>
      <w:r>
        <w:t>Используйте зрелую серверную библиотеку WebAuthn/FIDO; не реализуйте криптографическую валидацию с нуля без необходимости.</w:t>
      </w:r>
    </w:p>
    <w:p>
      <w:pPr>
        <w:pStyle w:val="ListBullet"/>
        <w:spacing w:after="60"/>
      </w:pPr>
      <w:r>
        <w:t>Храните credential ID, public key, user handle и нужные метаданные; приватный ключ сервер не получает.</w:t>
      </w:r>
    </w:p>
    <w:p>
      <w:pPr>
        <w:pStyle w:val="Heading1"/>
      </w:pPr>
      <w:r>
        <w:t>Шаг 3. Registration UX</w:t>
      </w:r>
    </w:p>
    <w:p>
      <w:pPr>
        <w:pStyle w:val="ListBullet"/>
        <w:spacing w:after="60"/>
      </w:pPr>
      <w:r>
        <w:t>Предлагайте создать passkey после уже успешного входа или надёжного account bootstrap.</w:t>
      </w:r>
    </w:p>
    <w:p>
      <w:pPr>
        <w:pStyle w:val="ListBullet"/>
        <w:spacing w:after="60"/>
      </w:pPr>
      <w:r>
        <w:t>Объясните ценность русским языком: «вход без пароля, подтверждение на устройстве».</w:t>
      </w:r>
    </w:p>
    <w:p>
      <w:pPr>
        <w:pStyle w:val="ListBullet"/>
        <w:spacing w:after="60"/>
      </w:pPr>
      <w:r>
        <w:t>Дайте понятное имя credential (например, «iPhone», «Windows ноутбук») и управление несколькими ключами.</w:t>
      </w:r>
    </w:p>
    <w:p>
      <w:pPr>
        <w:pStyle w:val="ListBullet"/>
        <w:spacing w:after="60"/>
      </w:pPr>
      <w:r>
        <w:t>Не заставляйте пользователя угадывать, где passkey сохранён.</w:t>
      </w:r>
    </w:p>
    <w:p>
      <w:pPr>
        <w:pStyle w:val="Heading1"/>
      </w:pPr>
      <w:r>
        <w:t>Шаг 4. Authentication UX</w:t>
      </w:r>
    </w:p>
    <w:p>
      <w:pPr>
        <w:pStyle w:val="ListBullet"/>
        <w:spacing w:after="60"/>
      </w:pPr>
      <w:r>
        <w:t>Поддержите passkey autofill/conditional UI там, где это совместимо.</w:t>
      </w:r>
    </w:p>
    <w:p>
      <w:pPr>
        <w:pStyle w:val="ListBullet"/>
        <w:spacing w:after="60"/>
      </w:pPr>
      <w:r>
        <w:t>Сохраняйте legacy fallback на пилоте.</w:t>
      </w:r>
    </w:p>
    <w:p>
      <w:pPr>
        <w:pStyle w:val="ListBullet"/>
        <w:spacing w:after="60"/>
      </w:pPr>
      <w:r>
        <w:t>Логируйте причину fallback: нет credential, устройство не поддерживает, пользователь отменил, WebAuthn error, recovery.</w:t>
      </w:r>
    </w:p>
    <w:p>
      <w:pPr>
        <w:pStyle w:val="ListBullet"/>
        <w:spacing w:after="60"/>
      </w:pPr>
      <w:r>
        <w:t>Не маскируйте все ошибки одним «что-то пошло не так» во внутренних логах.</w:t>
      </w:r>
    </w:p>
    <w:p>
      <w:pPr>
        <w:pStyle w:val="Heading1"/>
      </w:pPr>
      <w:r>
        <w:t>Шаг 5. Recovery</w:t>
      </w:r>
    </w:p>
    <w:p>
      <w:pPr>
        <w:pStyle w:val="ListBullet"/>
        <w:spacing w:after="60"/>
      </w:pPr>
      <w:r>
        <w:t>Тестируйте: потерян телефон, новый телефон, удалены все passkeys, сменился email/номер, compromised account, сотрудник уволен.</w:t>
      </w:r>
    </w:p>
    <w:p>
      <w:pPr>
        <w:pStyle w:val="ListBullet"/>
        <w:spacing w:after="60"/>
      </w:pPr>
      <w:r>
        <w:t>Не делайте support override слабее основного authentication assurance.</w:t>
      </w:r>
    </w:p>
    <w:p>
      <w:pPr>
        <w:pStyle w:val="ListBullet"/>
        <w:spacing w:after="60"/>
      </w:pPr>
      <w:r>
        <w:t>Для privileged accounts используйте более строгий proofing/dual control.</w:t>
      </w:r>
    </w:p>
    <w:p>
      <w:pPr>
        <w:pStyle w:val="ListBullet"/>
        <w:spacing w:after="60"/>
      </w:pPr>
      <w:r>
        <w:t>После recovery предлагайте зарегистрировать новый passkey и ревокировать потерянные credentials.</w:t>
      </w:r>
    </w:p>
    <w:p>
      <w:pPr>
        <w:pStyle w:val="Heading1"/>
      </w:pPr>
      <w:r>
        <w:t>Шаг 6. Security controls</w:t>
      </w:r>
    </w:p>
    <w:p>
      <w:pPr>
        <w:pStyle w:val="ListBullet"/>
        <w:spacing w:after="60"/>
      </w:pPr>
      <w:r>
        <w:t>Проверяйте origin/RP ID, challenge freshness, session fixation, CSRF вокруг credential management, права на add/delete passkey.</w:t>
      </w:r>
    </w:p>
    <w:p>
      <w:pPr>
        <w:pStyle w:val="ListBullet"/>
        <w:spacing w:after="60"/>
      </w:pPr>
      <w:r>
        <w:t>Не считайте passkey защитой от XSS/session theft.</w:t>
      </w:r>
    </w:p>
    <w:p>
      <w:pPr>
        <w:pStyle w:val="ListBullet"/>
        <w:spacing w:after="60"/>
      </w:pPr>
      <w:r>
        <w:t>Ограничьте чувствительные действия step-up/transaction confirmation по своей risk model.</w:t>
      </w:r>
    </w:p>
    <w:p>
      <w:pPr>
        <w:pStyle w:val="ListBullet"/>
        <w:spacing w:after="60"/>
      </w:pPr>
      <w:r>
        <w:t>Ведите audit trail регистрации, удаления и recovery без хранения секретов.</w:t>
      </w:r>
    </w:p>
    <w:p>
      <w:pPr>
        <w:pStyle w:val="Heading1"/>
      </w:pPr>
      <w:r>
        <w:t>Шаг 7. QA matrix</w:t>
      </w:r>
    </w:p>
    <w:p>
      <w:pPr>
        <w:pStyle w:val="ListBullet"/>
        <w:spacing w:after="60"/>
      </w:pPr>
      <w:r>
        <w:t>Минимум: Android + Chrome, iOS + Safari, Windows + Chrome/Edge, macOS + Safari/Chrome — если эти платформы есть в аудитории.</w:t>
      </w:r>
    </w:p>
    <w:p>
      <w:pPr>
        <w:pStyle w:val="ListBullet"/>
        <w:spacing w:after="60"/>
      </w:pPr>
      <w:r>
        <w:t>Проверьте cross-device QR flow.</w:t>
      </w:r>
    </w:p>
    <w:p>
      <w:pPr>
        <w:pStyle w:val="ListBullet"/>
        <w:spacing w:after="60"/>
      </w:pPr>
      <w:r>
        <w:t>Отдельно протестируйте in-app WebView/embedded browser, если он даёт значимый трафик.</w:t>
      </w:r>
    </w:p>
    <w:p>
      <w:pPr>
        <w:pStyle w:val="ListBullet"/>
        <w:spacing w:after="60"/>
      </w:pPr>
      <w:r>
        <w:t>Проверьте accessibility: клавиатура, screen reader labels, понятный fallback.</w:t>
      </w:r>
    </w:p>
    <w:p>
      <w:pPr>
        <w:pStyle w:val="Heading1"/>
      </w:pPr>
      <w:r>
        <w:t>Шаг 8. Pilot rollout</w:t>
      </w:r>
    </w:p>
    <w:p>
      <w:pPr>
        <w:pStyle w:val="ListBullet"/>
        <w:spacing w:after="60"/>
      </w:pPr>
      <w:r>
        <w:t>Начните с 5–10 внутренних пользователей, затем 25–50, затем 100–200.</w:t>
      </w:r>
    </w:p>
    <w:p>
      <w:pPr>
        <w:pStyle w:val="ListBullet"/>
        <w:spacing w:after="60"/>
      </w:pPr>
      <w:r>
        <w:t>Проверяйте gates на днях 7, 21 и 30.</w:t>
      </w:r>
    </w:p>
    <w:p>
      <w:pPr>
        <w:pStyle w:val="ListBullet"/>
        <w:spacing w:after="60"/>
      </w:pPr>
      <w:r>
        <w:t>Иметь feature flag/rollback.</w:t>
      </w:r>
    </w:p>
    <w:p>
      <w:pPr>
        <w:pStyle w:val="ListBullet"/>
        <w:spacing w:after="60"/>
      </w:pPr>
      <w:r>
        <w:t>Не расширять при critical lockout или recovery fail.</w:t>
      </w:r>
    </w:p>
    <w:p>
      <w:pPr>
        <w:pStyle w:val="Heading1"/>
      </w:pPr>
      <w:r>
        <w:t>Шаг 9. Passkey preferred</w:t>
      </w:r>
    </w:p>
    <w:p>
      <w:pPr>
        <w:pStyle w:val="ListBullet"/>
        <w:spacing w:after="60"/>
      </w:pPr>
      <w:r>
        <w:t>После PASS измените порядок UI: passkey первым, legacy — вторым.</w:t>
      </w:r>
    </w:p>
    <w:p>
      <w:pPr>
        <w:pStyle w:val="ListBullet"/>
        <w:spacing w:after="60"/>
      </w:pPr>
      <w:r>
        <w:t>Продолжайте давать enrollment после successful fallback login.</w:t>
      </w:r>
    </w:p>
    <w:p>
      <w:pPr>
        <w:pStyle w:val="ListBullet"/>
        <w:spacing w:after="60"/>
      </w:pPr>
      <w:r>
        <w:t>Отслеживайте долю legacy и причины.</w:t>
      </w:r>
    </w:p>
    <w:p>
      <w:pPr>
        <w:pStyle w:val="ListBullet"/>
        <w:spacing w:after="60"/>
      </w:pPr>
      <w:r>
        <w:t>Сокращайте SMS только когда фактическая доля passkey стабильна.</w:t>
      </w:r>
    </w:p>
    <w:p>
      <w:pPr>
        <w:pStyle w:val="Heading1"/>
      </w:pPr>
      <w:r>
        <w:t>Шаг 10. Legacy retirement</w:t>
      </w:r>
    </w:p>
    <w:p>
      <w:pPr>
        <w:pStyle w:val="ListBullet"/>
        <w:spacing w:after="60"/>
      </w:pPr>
      <w:r>
        <w:t>Сначала retire password/SMS для управляемых сегментов, а не для всех.</w:t>
      </w:r>
    </w:p>
    <w:p>
      <w:pPr>
        <w:pStyle w:val="ListBullet"/>
        <w:spacing w:after="60"/>
      </w:pPr>
      <w:r>
        <w:t>Проверьте recovery load и устройства ещё раз.</w:t>
      </w:r>
    </w:p>
    <w:p>
      <w:pPr>
        <w:pStyle w:val="ListBullet"/>
        <w:spacing w:after="60"/>
      </w:pPr>
      <w:r>
        <w:t>Оставьте emergency procedure с audit/approval.</w:t>
      </w:r>
    </w:p>
    <w:p>
      <w:pPr>
        <w:pStyle w:val="ListBullet"/>
        <w:spacing w:after="60"/>
      </w:pPr>
      <w:r>
        <w:t>Публично объясните изменения пользователям до enforcement.</w:t>
      </w:r>
    </w:p>
    <w:p>
      <w:pPr>
        <w:pStyle w:val="Heading1"/>
      </w:pPr>
      <w:r>
        <w:t>Контрольные события telemetry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3456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Событие</w:t>
            </w:r>
          </w:p>
        </w:tc>
        <w:tc>
          <w:tcPr>
            <w:tcW w:type="dxa" w:w="6912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8"/>
              </w:rPr>
              <w:t>Минимальные поля без лишней чувствительности</w:t>
            </w:r>
          </w:p>
        </w:tc>
      </w:tr>
      <w:tr>
        <w:tc>
          <w:tcPr>
            <w:tcW w:type="dxa" w:w="345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passkey_offer_shown</w:t>
            </w:r>
          </w:p>
        </w:tc>
        <w:tc>
          <w:tcPr>
            <w:tcW w:type="dxa" w:w="691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user/account pseudonymous id, platform family, timestamp, cohort</w:t>
            </w:r>
          </w:p>
        </w:tc>
      </w:tr>
      <w:tr>
        <w:tc>
          <w:tcPr>
            <w:tcW w:type="dxa" w:w="345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passkey_registration_success/fail</w:t>
            </w:r>
          </w:p>
        </w:tc>
        <w:tc>
          <w:tcPr>
            <w:tcW w:type="dxa" w:w="691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credential type if known, error family, client family, cohort</w:t>
            </w:r>
          </w:p>
        </w:tc>
      </w:tr>
      <w:tr>
        <w:tc>
          <w:tcPr>
            <w:tcW w:type="dxa" w:w="345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passkey_auth_success/fail</w:t>
            </w:r>
          </w:p>
        </w:tc>
        <w:tc>
          <w:tcPr>
            <w:tcW w:type="dxa" w:w="691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error family, cross-device yes/no, cohort</w:t>
            </w:r>
          </w:p>
        </w:tc>
      </w:tr>
      <w:tr>
        <w:tc>
          <w:tcPr>
            <w:tcW w:type="dxa" w:w="345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legacy_fallback</w:t>
            </w:r>
          </w:p>
        </w:tc>
        <w:tc>
          <w:tcPr>
            <w:tcW w:type="dxa" w:w="691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reason, method, cohort</w:t>
            </w:r>
          </w:p>
        </w:tc>
      </w:tr>
      <w:tr>
        <w:tc>
          <w:tcPr>
            <w:tcW w:type="dxa" w:w="3456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recovery_started/success/fail</w:t>
            </w:r>
          </w:p>
        </w:tc>
        <w:tc>
          <w:tcPr>
            <w:tcW w:type="dxa" w:w="691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recovery route, outcome, duration</w:t>
            </w:r>
          </w:p>
        </w:tc>
      </w:tr>
      <w:tr>
        <w:tc>
          <w:tcPr>
            <w:tcW w:type="dxa" w:w="3456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credential_added/deleted</w:t>
            </w:r>
          </w:p>
        </w:tc>
        <w:tc>
          <w:tcPr>
            <w:tcW w:type="dxa" w:w="691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8"/>
              </w:rPr>
              <w:t>actor type, timestamp, audit id</w:t>
            </w:r>
          </w:p>
        </w:tc>
      </w:tr>
    </w:tbl>
    <w:p>
      <w:pPr>
        <w:spacing w:after="20"/>
      </w:pPr>
    </w:p>
    <w:p>
      <w:pPr>
        <w:pStyle w:val="Heading1"/>
      </w:pPr>
      <w:r>
        <w:t>Инцидентный runbook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c>
          <w:tcPr>
            <w:tcW w:type="dxa" w:w="3024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Симптом</w:t>
            </w:r>
          </w:p>
        </w:tc>
        <w:tc>
          <w:tcPr>
            <w:tcW w:type="dxa" w:w="4752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Первое действие</w:t>
            </w:r>
          </w:p>
        </w:tc>
        <w:tc>
          <w:tcPr>
            <w:tcW w:type="dxa" w:w="2592"/>
            <w:shd w:fill="102A43"/>
            <w:vAlign w:val="center"/>
          </w:tcPr>
          <w:p>
            <w:pPr>
              <w:jc w:val="left"/>
            </w:pPr>
            <w:r>
              <w:rPr>
                <w:rFonts w:ascii="Arial" w:hAnsi="Arial"/>
                <w:b/>
                <w:color w:val="FFFFFF"/>
                <w:sz w:val="17"/>
              </w:rPr>
              <w:t>Rollback/эскалация</w:t>
            </w:r>
          </w:p>
        </w:tc>
      </w:tr>
      <w:tr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Массовый auth fail одной платформы</w:t>
            </w:r>
          </w:p>
        </w:tc>
        <w:tc>
          <w:tcPr>
            <w:tcW w:type="dxa" w:w="47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Остановить расширение, выделить error family, включить legacy primary для affected cohort.</w:t>
            </w:r>
          </w:p>
        </w:tc>
        <w:tc>
          <w:tcPr>
            <w:tcW w:type="dxa" w:w="259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Feature flag rollback; vendor/browser analysis.</w:t>
            </w:r>
          </w:p>
        </w:tc>
      </w:tr>
      <w:tr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Пользователь потерял единственный key</w:t>
            </w:r>
          </w:p>
        </w:tc>
        <w:tc>
          <w:tcPr>
            <w:tcW w:type="dxa" w:w="47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Запустить recovery policy; не добавлять новый key до proofing.</w:t>
            </w:r>
          </w:p>
        </w:tc>
        <w:tc>
          <w:tcPr>
            <w:tcW w:type="dxa" w:w="259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Если штатного recovery нет — P1 и стоп расширению.</w:t>
            </w:r>
          </w:p>
        </w:tc>
      </w:tr>
      <w:tr>
        <w:tc>
          <w:tcPr>
            <w:tcW w:type="dxa" w:w="3024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Резкий рост support</w:t>
            </w:r>
          </w:p>
        </w:tc>
        <w:tc>
          <w:tcPr>
            <w:tcW w:type="dxa" w:w="475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Классифицировать top-3 причины; исправить copy/flow, а не просто расширить FAQ.</w:t>
            </w:r>
          </w:p>
        </w:tc>
        <w:tc>
          <w:tcPr>
            <w:tcW w:type="dxa" w:w="2592"/>
            <w:vAlign w:val="top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Вернуть optional enrollment, если блокирует вход.</w:t>
            </w:r>
          </w:p>
        </w:tc>
      </w:tr>
      <w:tr>
        <w:tc>
          <w:tcPr>
            <w:tcW w:type="dxa" w:w="3024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Подозрение на compromised session</w:t>
            </w:r>
          </w:p>
        </w:tc>
        <w:tc>
          <w:tcPr>
            <w:tcW w:type="dxa" w:w="475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Revocation/session response по обычному incident process.</w:t>
            </w:r>
          </w:p>
        </w:tc>
        <w:tc>
          <w:tcPr>
            <w:tcW w:type="dxa" w:w="2592"/>
            <w:vAlign w:val="top"/>
            <w:shd w:fill="F4F7FA"/>
          </w:tcPr>
          <w:p>
            <w:pPr>
              <w:spacing w:after="40"/>
            </w:pPr>
            <w:r>
              <w:rPr>
                <w:rFonts w:ascii="Arial" w:hAnsi="Arial"/>
                <w:color w:val="243B53"/>
                <w:sz w:val="17"/>
              </w:rPr>
              <w:t>Passkey сам по себе не решает session compromise.</w:t>
            </w:r>
          </w:p>
        </w:tc>
      </w:tr>
    </w:tbl>
    <w:p>
      <w:pPr>
        <w:spacing w:after="20"/>
      </w:pPr>
    </w:p>
    <w:p>
      <w:pPr>
        <w:pStyle w:val="Heading1"/>
      </w:pPr>
      <w:r>
        <w:t>Definition of Done для этапа «pilot ready»</w:t>
      </w:r>
    </w:p>
    <w:p>
      <w:pPr>
        <w:pStyle w:val="ListBullet"/>
        <w:spacing w:after="60"/>
      </w:pPr>
      <w:r>
        <w:t>registration и authentication работают на целевой device matrix;</w:t>
      </w:r>
    </w:p>
    <w:p>
      <w:pPr>
        <w:pStyle w:val="ListBullet"/>
        <w:spacing w:after="60"/>
      </w:pPr>
      <w:r>
        <w:t>несколько passkeys на аккаунт поддерживаются;</w:t>
      </w:r>
    </w:p>
    <w:p>
      <w:pPr>
        <w:pStyle w:val="ListBullet"/>
        <w:spacing w:after="60"/>
      </w:pPr>
      <w:r>
        <w:t>delete/revoke и recovery протестированы;</w:t>
      </w:r>
    </w:p>
    <w:p>
      <w:pPr>
        <w:pStyle w:val="ListBullet"/>
        <w:spacing w:after="60"/>
      </w:pPr>
      <w:r>
        <w:t>feature flag/rollback проверен;</w:t>
      </w:r>
    </w:p>
    <w:p>
      <w:pPr>
        <w:pStyle w:val="ListBullet"/>
        <w:spacing w:after="60"/>
      </w:pPr>
      <w:r>
        <w:t>telemetry видит success/fail/fallback/recovery;</w:t>
      </w:r>
    </w:p>
    <w:p>
      <w:pPr>
        <w:pStyle w:val="ListBullet"/>
        <w:spacing w:after="60"/>
      </w:pPr>
      <w:r>
        <w:t>support runbook готов;</w:t>
      </w:r>
    </w:p>
    <w:p>
      <w:pPr>
        <w:pStyle w:val="ListBullet"/>
        <w:spacing w:after="60"/>
      </w:pPr>
      <w:r>
        <w:t>security review не имеет открытых P0/P1;</w:t>
      </w:r>
    </w:p>
    <w:p>
      <w:pPr>
        <w:pStyle w:val="ListBullet"/>
        <w:spacing w:after="60"/>
      </w:pPr>
      <w:r>
        <w:t>baseline зафиксирован для сравнения.</w:t>
      </w:r>
    </w:p>
    <w:p>
      <w:pPr>
        <w:pStyle w:val="Heading1"/>
      </w:pPr>
      <w:r>
        <w:t>Источники и дата проверки</w:t>
      </w:r>
    </w:p>
    <w:p>
      <w:pPr>
        <w:pStyle w:val="Smallnote"/>
      </w:pPr>
      <w:r>
        <w:t>Фактчек: 09.09.2026. Сценарные цифры и пороги в документах маркируются отдельно и не выдаются за рыночный факт.</w:t>
      </w:r>
    </w:p>
    <w:p>
      <w:pPr>
        <w:spacing w:after="100"/>
      </w:pPr>
      <w:r>
        <w:rPr>
          <w:b/>
        </w:rPr>
        <w:t xml:space="preserve">1. W3C — Web Authentication Level 3 Recommendation — </w:t>
      </w:r>
      <w:hyperlink r:id="rId9">
        <w:r>
          <w:rPr>
            <w:color w:val="0E7490"/>
            <w:u w:val="single"/>
          </w:rPr>
          <w:t>открыть источник</w:t>
        </w:r>
      </w:hyperlink>
      <w:r>
        <w:t>. Нормативная спецификация WebAuthn Level 3; публичные ключи, привязка credential к relying party и origin.</w:t>
      </w:r>
    </w:p>
    <w:p>
      <w:pPr>
        <w:spacing w:after="100"/>
      </w:pPr>
      <w:r>
        <w:rPr>
          <w:b/>
        </w:rPr>
        <w:t xml:space="preserve">2. FIDO Alliance — The State of Passkeys 2026 — </w:t>
      </w:r>
      <w:hyperlink r:id="rId10">
        <w:r>
          <w:rPr>
            <w:color w:val="0E7490"/>
            <w:u w:val="single"/>
          </w:rPr>
          <w:t>открыть источник</w:t>
        </w:r>
      </w:hyperlink>
      <w:r>
        <w:t>. Оценка масштаба внедрения passkeys в 2026 году: 5 млрд активных passkeys; данные опросов потребителей и организаций.</w:t>
      </w:r>
    </w:p>
    <w:p>
      <w:pPr>
        <w:spacing w:after="100"/>
      </w:pPr>
      <w:r>
        <w:rPr>
          <w:b/>
        </w:rPr>
        <w:t xml:space="preserve">3. FIDO Alliance — Passkeys — </w:t>
      </w:r>
      <w:hyperlink r:id="rId11">
        <w:r>
          <w:rPr>
            <w:color w:val="0E7490"/>
            <w:u w:val="single"/>
          </w:rPr>
          <w:t>открыть источник</w:t>
        </w:r>
      </w:hyperlink>
      <w:r>
        <w:t>. Объяснение phishing-resistant модели, отсутствия паролей на сервере и роли локальной биометрии.</w:t>
      </w:r>
    </w:p>
    <w:p>
      <w:pPr>
        <w:spacing w:after="100"/>
      </w:pPr>
      <w:r>
        <w:rPr>
          <w:b/>
        </w:rPr>
        <w:t xml:space="preserve">4. NIST SP 800-63B — Authenticators — </w:t>
      </w:r>
      <w:hyperlink r:id="rId12">
        <w:r>
          <w:rPr>
            <w:color w:val="0E7490"/>
            <w:u w:val="single"/>
          </w:rPr>
          <w:t>открыть источник</w:t>
        </w:r>
      </w:hyperlink>
      <w:r>
        <w:t>. OTP с ручным вводом не считается phishing-resistant; PSTN/SMS out-of-band относится к restricted authenticator.</w:t>
      </w:r>
    </w:p>
    <w:p>
      <w:pPr>
        <w:spacing w:after="100"/>
      </w:pPr>
      <w:r>
        <w:rPr>
          <w:b/>
        </w:rPr>
        <w:t xml:space="preserve">5. Google for Developers — Passkeys user journeys — </w:t>
      </w:r>
      <w:hyperlink r:id="rId13">
        <w:r>
          <w:rPr>
            <w:color w:val="0E7490"/>
            <w:u w:val="single"/>
          </w:rPr>
          <w:t>открыть источник</w:t>
        </w:r>
      </w:hyperlink>
      <w:r>
        <w:t>. Практика постепенного перехода, несколько passkeys на аккаунт, recovery и fallback.</w:t>
      </w:r>
    </w:p>
    <w:p>
      <w:pPr>
        <w:spacing w:after="100"/>
      </w:pPr>
      <w:r>
        <w:rPr>
          <w:b/>
        </w:rPr>
        <w:t xml:space="preserve">6. Google for Developers — Server-side passkey registration — </w:t>
      </w:r>
      <w:hyperlink r:id="rId14">
        <w:r>
          <w:rPr>
            <w:color w:val="0E7490"/>
            <w:u w:val="single"/>
          </w:rPr>
          <w:t>открыть источник</w:t>
        </w:r>
      </w:hyperlink>
      <w:r>
        <w:t>. Серверная регистрация и рекомендация использовать проверенные WebAuthn/FIDO библиотеки.</w:t>
      </w:r>
    </w:p>
    <w:p>
      <w:pPr>
        <w:spacing w:after="100"/>
      </w:pPr>
      <w:r>
        <w:rPr>
          <w:b/>
        </w:rPr>
        <w:t xml:space="preserve">7. passkeys.dev — Device Support — </w:t>
      </w:r>
      <w:hyperlink r:id="rId15">
        <w:r>
          <w:rPr>
            <w:color w:val="0E7490"/>
            <w:u w:val="single"/>
          </w:rPr>
          <w:t>открыть источник</w:t>
        </w:r>
      </w:hyperlink>
      <w:r>
        <w:t>. Матрица поддержки passkeys, cross-device authentication и credential managers на основных ОС/браузерах.</w:t>
      </w:r>
    </w:p>
    <w:p>
      <w:pPr>
        <w:spacing w:after="100"/>
      </w:pPr>
      <w:r>
        <w:rPr>
          <w:b/>
        </w:rPr>
        <w:t xml:space="preserve">8. Microsoft Learn — passkeys by default; retirement of Microsoft-provided SMS/voice — </w:t>
      </w:r>
      <w:hyperlink r:id="rId16">
        <w:r>
          <w:rPr>
            <w:color w:val="0E7490"/>
            <w:u w:val="single"/>
          </w:rPr>
          <w:t>открыть источник</w:t>
        </w:r>
      </w:hyperlink>
      <w:r>
        <w:t>. С 1 сентября 2026 года passkeys становятся default-направлением для затронутых Entra-пользователей; Microsoft-managed SMS/voice выводятся 1 февраля 2027 года.</w:t>
      </w:r>
    </w:p>
    <w:p>
      <w:pPr>
        <w:spacing w:after="100"/>
      </w:pPr>
      <w:r>
        <w:rPr>
          <w:b/>
        </w:rPr>
        <w:t xml:space="preserve">9. FIDO Alliance — Displace Password + OTP Authentication with Passkeys — </w:t>
      </w:r>
      <w:hyperlink r:id="rId17">
        <w:r>
          <w:rPr>
            <w:color w:val="0E7490"/>
            <w:u w:val="single"/>
          </w:rPr>
          <w:t>открыть источник</w:t>
        </w:r>
      </w:hyperlink>
      <w:r>
        <w:t>. Миграция password+OTP, пилотирование, enrollment и account recovery.</w:t>
      </w:r>
    </w:p>
    <w:p>
      <w:pPr>
        <w:spacing w:after="100"/>
      </w:pPr>
      <w:r>
        <w:rPr>
          <w:b/>
        </w:rPr>
        <w:t xml:space="preserve">10. МТС Exolve — изменение тарифов на SMS с 1 августа 2026 года — </w:t>
      </w:r>
      <w:hyperlink r:id="rId18">
        <w:r>
          <w:rPr>
            <w:color w:val="0E7490"/>
            <w:u w:val="single"/>
          </w:rPr>
          <w:t>открыть источник</w:t>
        </w:r>
      </w:hyperlink>
      <w:r>
        <w:t>. Пример актуальной сложной пакетной тарификации сервисных/авторизационных SMS; показывает, почему в ROI нужно подставлять фактическую цену из договора.</w:t>
      </w:r>
    </w:p>
    <w:p>
      <w:pPr>
        <w:spacing w:after="100"/>
      </w:pPr>
      <w:r>
        <w:rPr>
          <w:b/>
        </w:rPr>
        <w:t xml:space="preserve">11. МТС Exolve — плата за шаблоны SMS на Мегафон с 1 сентября 2026 года — </w:t>
      </w:r>
      <w:hyperlink r:id="rId19">
        <w:r>
          <w:rPr>
            <w:color w:val="0E7490"/>
            <w:u w:val="single"/>
          </w:rPr>
          <w:t>открыть источник</w:t>
        </w:r>
      </w:hyperlink>
      <w:r>
        <w:t>. Пример дополнительных фиксированных расходов на авторизационные/сервисные шаблоны у конкретного провайдера.</w:t>
      </w:r>
    </w:p>
    <w:sectPr w:rsidR="00FC693F" w:rsidRPr="0006063C" w:rsidSect="00034616">
      <w:footerReference w:type="default" r:id="rId2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486581"/>
        <w:sz w:val="16"/>
      </w:rPr>
      <w:t>Бизнес под микроскопом · рабочий материал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243B5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102A4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0E749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40"/>
      <w:outlineLvl w:val="2"/>
    </w:pPr>
    <w:rPr>
      <w:rFonts w:asciiTheme="majorHAnsi" w:eastAsiaTheme="majorEastAsia" w:hAnsiTheme="majorHAnsi" w:cstheme="majorBidi" w:ascii="Arial" w:hAnsi="Arial"/>
      <w:b/>
      <w:bCs/>
      <w:color w:val="243B53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0"/>
      <w:contextualSpacing/>
    </w:pPr>
    <w:rPr>
      <w:rFonts w:asciiTheme="majorHAnsi" w:eastAsiaTheme="majorEastAsia" w:hAnsiTheme="majorHAnsi" w:cstheme="majorBidi" w:ascii="Arial" w:hAnsi="Arial"/>
      <w:b/>
      <w:color w:val="102A4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note">
    <w:name w:val="Small note"/>
    <w:pPr>
      <w:spacing w:after="80"/>
    </w:pPr>
    <w:rPr>
      <w:rFonts w:ascii="Arial" w:hAnsi="Arial"/>
      <w:color w:val="486581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w3.org/TR/2026/REC-webauthn-3-20260825/" TargetMode="External"/><Relationship Id="rId10" Type="http://schemas.openxmlformats.org/officeDocument/2006/relationships/hyperlink" Target="https://fidoalliance.org/the-state-of-passkeys-2026-global-consumer-and-workforce-report/" TargetMode="External"/><Relationship Id="rId11" Type="http://schemas.openxmlformats.org/officeDocument/2006/relationships/hyperlink" Target="https://fidoalliance.org/passkeys/" TargetMode="External"/><Relationship Id="rId12" Type="http://schemas.openxmlformats.org/officeDocument/2006/relationships/hyperlink" Target="https://pages.nist.gov/800-63-4/sp800-63b/authenticators/" TargetMode="External"/><Relationship Id="rId13" Type="http://schemas.openxmlformats.org/officeDocument/2006/relationships/hyperlink" Target="https://developers.google.com/identity/passkeys/ux/user-journeys" TargetMode="External"/><Relationship Id="rId14" Type="http://schemas.openxmlformats.org/officeDocument/2006/relationships/hyperlink" Target="https://developers.google.com/identity/passkeys/developer-guides/server-registration" TargetMode="External"/><Relationship Id="rId15" Type="http://schemas.openxmlformats.org/officeDocument/2006/relationships/hyperlink" Target="https://passkeys.dev/device-support/" TargetMode="External"/><Relationship Id="rId16" Type="http://schemas.openxmlformats.org/officeDocument/2006/relationships/hyperlink" Target="https://learn.microsoft.com/ru-ru/entra/identity/authentication/concept-sms-voice-retirement" TargetMode="External"/><Relationship Id="rId17" Type="http://schemas.openxmlformats.org/officeDocument/2006/relationships/hyperlink" Target="https://fidoalliance.org/white-paper-displace-password-otp-authentication-with-passkeys/" TargetMode="External"/><Relationship Id="rId18" Type="http://schemas.openxmlformats.org/officeDocument/2006/relationships/hyperlink" Target="https://community.exolve.ru/news/izmenenie-tarifov-na-sms-rassylku-s-1-avgusta-2026-goda/" TargetMode="External"/><Relationship Id="rId19" Type="http://schemas.openxmlformats.org/officeDocument/2006/relationships/hyperlink" Target="https://community.exolve.ru/news/obnovlenie-po-shablonam-sms-s-1-sentyabrya-megafon/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