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173A5E"/>
            <w:tcMar>
              <w:top w:w="50" w:type="dxa"/>
              <w:start w:w="120" w:type="dxa"/>
              <w:bottom w:w="50" w:type="dxa"/>
              <w:end w:w="12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БИЗНЕС-СРЕДА</w:t>
            </w:r>
          </w:p>
        </w:tc>
      </w:tr>
    </w:tbl>
    <w:p>
      <w:pPr>
        <w:pStyle w:val="Title"/>
      </w:pPr>
      <w:r>
        <w:t>План готовности: заявка на льготный кредит для пострадавшего бизнеса РВБ</w:t>
      </w:r>
    </w:p>
    <w:p>
      <w:r>
        <w:rPr>
          <w:rFonts w:ascii="Arial" w:hAnsi="Arial" w:eastAsia="Arial"/>
          <w:b w:val="0"/>
          <w:i/>
          <w:color w:val="66717C"/>
          <w:sz w:val="22"/>
        </w:rPr>
        <w:t>Практический план на 10 рабочих дней: от подтверждения статуса до подписания безопасного кредитного решения.</w:t>
      </w:r>
    </w:p>
    <w:p>
      <w:pPr>
        <w:pStyle w:val="SmallNote"/>
      </w:pPr>
      <w:r>
        <w:t>Проверено: 14 сентября 2026 года. Материал носит информационный характер; конкретное кредитное решение и пакет документов определяет банк.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9F5E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ЦЕЛЬ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Не «получить кредит любой ценой», а за 10 рабочих дней подготовить проверяемую потребность, полный пакет готовности и сопоставимые предложения банков.</w:t>
            </w:r>
          </w:p>
        </w:tc>
      </w:tr>
    </w:tbl>
    <w:p>
      <w:pPr>
        <w:pStyle w:val="Heading1"/>
      </w:pPr>
      <w:r>
        <w:t>Роли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28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6690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Ответственность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Собственник / директор</w:t>
            </w:r>
          </w:p>
        </w:tc>
        <w:tc>
          <w:tcPr>
            <w:tcW w:type="dxa" w:w="669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утверждает сумму, допустимую долговую нагрузку и банк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Бухгалтер / финансист</w:t>
            </w:r>
          </w:p>
        </w:tc>
        <w:tc>
          <w:tcPr>
            <w:tcW w:type="dxa" w:w="669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готовит финансовые данные, долговой календарь и расчёт кассового разрыва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Операционный ответственный / селлер</w:t>
            </w:r>
          </w:p>
        </w:tc>
        <w:tc>
          <w:tcPr>
            <w:tcW w:type="dxa" w:w="669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собирает данные РВБ, товары, остатки, подтверждения ущерба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Юрист / внешний консультант — при необходимости</w:t>
            </w:r>
          </w:p>
        </w:tc>
        <w:tc>
          <w:tcPr>
            <w:tcW w:type="dxa" w:w="669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проверяет договор, обеспечение, поручительство, комиссии и условия после льготного периода</w:t>
            </w:r>
          </w:p>
        </w:tc>
      </w:tr>
    </w:tbl>
    <w:p>
      <w:pPr>
        <w:pStyle w:val="Heading1"/>
      </w:pPr>
      <w:r>
        <w:t>Дни 1–2. Право и доказательства</w:t>
      </w:r>
    </w:p>
    <w:p>
      <w:pPr>
        <w:pStyle w:val="ListBullet"/>
      </w:pPr>
      <w:r>
        <w:rPr>
          <w:rFonts w:ascii="Arial" w:hAnsi="Arial" w:eastAsia="Arial"/>
          <w:sz w:val="21"/>
        </w:rPr>
        <w:t>Проверить запись в Едином реестре МСП.</w:t>
      </w:r>
    </w:p>
    <w:p>
      <w:pPr>
        <w:pStyle w:val="ListBullet"/>
      </w:pPr>
      <w:r>
        <w:rPr>
          <w:rFonts w:ascii="Arial" w:hAnsi="Arial" w:eastAsia="Arial"/>
          <w:sz w:val="21"/>
        </w:rPr>
        <w:t>Собрать все доступные подтверждения связи с пострадавшим объектом РВБ и ущерба.</w:t>
      </w:r>
    </w:p>
    <w:p>
      <w:pPr>
        <w:pStyle w:val="ListBullet"/>
      </w:pPr>
      <w:r>
        <w:rPr>
          <w:rFonts w:ascii="Arial" w:hAnsi="Arial" w:eastAsia="Arial"/>
          <w:sz w:val="21"/>
        </w:rPr>
        <w:t>Отдельно зафиксировать: налоговая мера по постановлению № 1074 и кредитная программа — разные контуры; не переносить налоговый порог &gt;5% в кредит автоматически.</w:t>
      </w:r>
    </w:p>
    <w:p>
      <w:pPr>
        <w:pStyle w:val="ListBullet"/>
      </w:pPr>
      <w:r>
        <w:rPr>
          <w:rFonts w:ascii="Arial" w:hAnsi="Arial" w:eastAsia="Arial"/>
          <w:sz w:val="21"/>
        </w:rPr>
        <w:t>Составить список пробелов: какой документ отсутствует и кто его должен выдать.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B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РЕЗУЛЬТАТ ДНЯ 2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Папка «Статус и ущерб» + список недостающих подтверждений. Если статус пострадавшего объективно не подтверждается, процесс не продолжается до прояснения.</w:t>
            </w:r>
          </w:p>
        </w:tc>
      </w:tr>
    </w:tbl>
    <w:p>
      <w:pPr>
        <w:pStyle w:val="Heading1"/>
      </w:pPr>
      <w:r>
        <w:t>Дни 3–4. Сумма и денежный поток</w:t>
      </w:r>
    </w:p>
    <w:p>
      <w:pPr>
        <w:pStyle w:val="ListBullet"/>
      </w:pPr>
      <w:r>
        <w:rPr>
          <w:rFonts w:ascii="Arial" w:hAnsi="Arial" w:eastAsia="Arial"/>
          <w:sz w:val="21"/>
        </w:rPr>
        <w:t>Рассчитать разовый кассовый разрыв и ежемесячный дефицит оборотки.</w:t>
      </w:r>
    </w:p>
    <w:p>
      <w:pPr>
        <w:pStyle w:val="ListBullet"/>
      </w:pPr>
      <w:r>
        <w:rPr>
          <w:rFonts w:ascii="Arial" w:hAnsi="Arial" w:eastAsia="Arial"/>
          <w:sz w:val="21"/>
        </w:rPr>
        <w:t>Составить план использования кредита: товар/сырьё, логистика, текущие операционные платежи.</w:t>
      </w:r>
    </w:p>
    <w:p>
      <w:pPr>
        <w:pStyle w:val="ListBullet"/>
      </w:pPr>
      <w:r>
        <w:rPr>
          <w:rFonts w:ascii="Arial" w:hAnsi="Arial" w:eastAsia="Arial"/>
          <w:sz w:val="21"/>
        </w:rPr>
        <w:t>Заполнить XLSX-калькулятор: сумма, ставка, срок моделирования, комиссии, свободный денежный поток.</w:t>
      </w:r>
    </w:p>
    <w:p>
      <w:pPr>
        <w:pStyle w:val="ListBullet"/>
      </w:pPr>
      <w:r>
        <w:rPr>
          <w:rFonts w:ascii="Arial" w:hAnsi="Arial" w:eastAsia="Arial"/>
          <w:sz w:val="21"/>
        </w:rPr>
        <w:t>Сделать стресс-сценарий: выручка восстанавливается на 20–30% медленнее плана.</w:t>
      </w:r>
    </w:p>
    <w:p>
      <w:pPr>
        <w:pStyle w:val="ListBullet"/>
      </w:pPr>
      <w:r>
        <w:rPr>
          <w:rFonts w:ascii="Arial" w:hAnsi="Arial" w:eastAsia="Arial"/>
          <w:sz w:val="21"/>
        </w:rPr>
        <w:t>Установить внутренний лимит суммы — кредит не выше подтверждённой потребности + разумный буфер.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B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РЕЗУЛЬТАТ ДНЯ 4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Одна обоснованная сумма заявки и допустимый ежемесячный платёж. Если свободный денежный поток плохо покрывает платёж, уменьшаем сумму или меняем структуру финансирования.</w:t>
            </w:r>
          </w:p>
        </w:tc>
      </w:tr>
    </w:tbl>
    <w:p>
      <w:pPr>
        <w:pStyle w:val="Heading1"/>
      </w:pPr>
      <w:r>
        <w:t>День 5. Банки</w:t>
      </w:r>
    </w:p>
    <w:p>
      <w:pPr>
        <w:pStyle w:val="ListBullet"/>
      </w:pPr>
      <w:r>
        <w:rPr>
          <w:rFonts w:ascii="Arial" w:hAnsi="Arial" w:eastAsia="Arial"/>
          <w:sz w:val="21"/>
        </w:rPr>
        <w:t>Выбрать минимум 3 банка из перечня участников.</w:t>
      </w:r>
    </w:p>
    <w:p>
      <w:pPr>
        <w:pStyle w:val="ListBullet"/>
      </w:pPr>
      <w:r>
        <w:rPr>
          <w:rFonts w:ascii="Arial" w:hAnsi="Arial" w:eastAsia="Arial"/>
          <w:sz w:val="21"/>
        </w:rPr>
        <w:t>Позвонить/написать и подтвердить фактический старт выдачи.</w:t>
      </w:r>
    </w:p>
    <w:p>
      <w:pPr>
        <w:pStyle w:val="ListBullet"/>
      </w:pPr>
      <w:r>
        <w:rPr>
          <w:rFonts w:ascii="Arial" w:hAnsi="Arial" w:eastAsia="Arial"/>
          <w:sz w:val="21"/>
        </w:rPr>
        <w:t>Запросить список документов и форму подтверждения статуса пострадавшего.</w:t>
      </w:r>
    </w:p>
    <w:p>
      <w:pPr>
        <w:pStyle w:val="ListBullet"/>
      </w:pPr>
      <w:r>
        <w:rPr>
          <w:rFonts w:ascii="Arial" w:hAnsi="Arial" w:eastAsia="Arial"/>
          <w:sz w:val="21"/>
        </w:rPr>
        <w:t>Разослать одинаковый пакет данных, чтобы предложения можно было сравнивать.</w:t>
      </w:r>
    </w:p>
    <w:p>
      <w:pPr>
        <w:pStyle w:val="Heading1"/>
      </w:pPr>
      <w:r>
        <w:t>Дни 6–7. Пакет и заявки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226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7143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Что должно быть готово к отправке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Компания</w:t>
            </w:r>
          </w:p>
        </w:tc>
        <w:tc>
          <w:tcPr>
            <w:tcW w:type="dxa" w:w="714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регистрационные документы, полномочия, запись МСП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РВБ/ущерб</w:t>
            </w:r>
          </w:p>
        </w:tc>
        <w:tc>
          <w:tcPr>
            <w:tcW w:type="dxa" w:w="714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доступные справки, документы по товарам и расчёт ущерба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Финансы</w:t>
            </w:r>
          </w:p>
        </w:tc>
        <w:tc>
          <w:tcPr>
            <w:tcW w:type="dxa" w:w="714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отчётность, выписки, обороты, управленческие данные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Долг</w:t>
            </w:r>
          </w:p>
        </w:tc>
        <w:tc>
          <w:tcPr>
            <w:tcW w:type="dxa" w:w="714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реестр кредитов/залогов/поручительств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Оборотка</w:t>
            </w:r>
          </w:p>
        </w:tc>
        <w:tc>
          <w:tcPr>
            <w:tcW w:type="dxa" w:w="714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расчёт потребности и план использования денег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Обеспечение</w:t>
            </w:r>
          </w:p>
        </w:tc>
        <w:tc>
          <w:tcPr>
            <w:tcW w:type="dxa" w:w="714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перечень доступного залога + запрос зонтичного поручительства</w:t>
            </w:r>
          </w:p>
        </w:tc>
      </w:tr>
    </w:tbl>
    <w:p>
      <w:pPr>
        <w:pStyle w:val="Heading1"/>
      </w:pPr>
      <w:r>
        <w:t>День 8. Сравнение офферов</w:t>
      </w:r>
    </w:p>
    <w:p>
      <w:pPr>
        <w:pStyle w:val="ListNumber"/>
      </w:pPr>
      <w:r>
        <w:rPr>
          <w:rFonts w:ascii="Arial" w:hAnsi="Arial" w:eastAsia="Arial"/>
          <w:sz w:val="21"/>
        </w:rPr>
        <w:t>Свести все предложения в одну матрицу.</w:t>
      </w:r>
    </w:p>
    <w:p>
      <w:pPr>
        <w:pStyle w:val="ListNumber"/>
      </w:pPr>
      <w:r>
        <w:rPr>
          <w:rFonts w:ascii="Arial" w:hAnsi="Arial" w:eastAsia="Arial"/>
          <w:sz w:val="21"/>
        </w:rPr>
        <w:t>Посчитать полную плановую стоимость с комиссиями и обязательными услугами.</w:t>
      </w:r>
    </w:p>
    <w:p>
      <w:pPr>
        <w:pStyle w:val="ListNumber"/>
      </w:pPr>
      <w:r>
        <w:rPr>
          <w:rFonts w:ascii="Arial" w:hAnsi="Arial" w:eastAsia="Arial"/>
          <w:sz w:val="21"/>
        </w:rPr>
        <w:t>Сравнить график, первый платёж и возможность досрочного погашения.</w:t>
      </w:r>
    </w:p>
    <w:p>
      <w:pPr>
        <w:pStyle w:val="ListNumber"/>
      </w:pPr>
      <w:r>
        <w:rPr>
          <w:rFonts w:ascii="Arial" w:hAnsi="Arial" w:eastAsia="Arial"/>
          <w:sz w:val="21"/>
        </w:rPr>
        <w:t>Проверить, что означает льготный период 1,5 года именно в каждом договоре.</w:t>
      </w:r>
    </w:p>
    <w:p>
      <w:pPr>
        <w:pStyle w:val="ListNumber"/>
      </w:pPr>
      <w:r>
        <w:rPr>
          <w:rFonts w:ascii="Arial" w:hAnsi="Arial" w:eastAsia="Arial"/>
          <w:sz w:val="21"/>
        </w:rPr>
        <w:t>Проверить применение зонтичного поручительства и остаточное обеспечение.</w:t>
      </w:r>
    </w:p>
    <w:p>
      <w:pPr>
        <w:pStyle w:val="Heading1"/>
      </w:pPr>
      <w:r>
        <w:t>День 9. Стресс-тест договора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26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Стресс</w:t>
            </w:r>
          </w:p>
        </w:tc>
        <w:tc>
          <w:tcPr>
            <w:tcW w:type="dxa" w:w="3969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Что пересчитать</w:t>
            </w:r>
          </w:p>
        </w:tc>
        <w:tc>
          <w:tcPr>
            <w:tcW w:type="dxa" w:w="317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Stop-условие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Выручка восстанавливается медленнее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свободный денежный поток после долга</w:t>
            </w:r>
          </w:p>
        </w:tc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платёж начинает съедать критический запас ликвидности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Ключевая ставка выше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новую процентную нагрузку по формуле договора</w:t>
            </w:r>
          </w:p>
        </w:tc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платёж становится неприемлемым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Нужна меньшая сумма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проценты и запас ликвидности</w:t>
            </w:r>
          </w:p>
        </w:tc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 брать лишний долг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Льготный период заканчивается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ставку/платёж после 18 месяцев</w:t>
            </w:r>
          </w:p>
        </w:tc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условия после льготы не определены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Комиссии выше ожиданий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полную стоимость</w:t>
            </w:r>
          </w:p>
        </w:tc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выгода против обычного кредита исчезает</w:t>
            </w:r>
          </w:p>
        </w:tc>
      </w:tr>
    </w:tbl>
    <w:p>
      <w:pPr>
        <w:pStyle w:val="Heading1"/>
      </w:pPr>
      <w:r>
        <w:t>День 10. Решение и подписание</w:t>
      </w:r>
    </w:p>
    <w:p>
      <w:pPr>
        <w:pStyle w:val="ListBullet"/>
      </w:pPr>
      <w:r>
        <w:rPr>
          <w:rFonts w:ascii="Arial" w:hAnsi="Arial" w:eastAsia="Arial"/>
          <w:sz w:val="21"/>
        </w:rPr>
        <w:t>Выбрать банк не по одному проценту, а по полной стоимости и рискам.</w:t>
      </w:r>
    </w:p>
    <w:p>
      <w:pPr>
        <w:pStyle w:val="ListBullet"/>
      </w:pPr>
      <w:r>
        <w:rPr>
          <w:rFonts w:ascii="Arial" w:hAnsi="Arial" w:eastAsia="Arial"/>
          <w:sz w:val="21"/>
        </w:rPr>
        <w:t>Зафиксировать в кредитном файле итоговую формулу ставки, график, обеспечение, комиссии и условия после льготного периода.</w:t>
      </w:r>
    </w:p>
    <w:p>
      <w:pPr>
        <w:pStyle w:val="ListBullet"/>
      </w:pPr>
      <w:r>
        <w:rPr>
          <w:rFonts w:ascii="Arial" w:hAnsi="Arial" w:eastAsia="Arial"/>
          <w:sz w:val="21"/>
        </w:rPr>
        <w:t>Подписывать только после того, как собственник видит платежный календарь минимум на 6–12 месяцев.</w:t>
      </w:r>
    </w:p>
    <w:p>
      <w:pPr>
        <w:pStyle w:val="ListBullet"/>
      </w:pPr>
      <w:r>
        <w:rPr>
          <w:rFonts w:ascii="Arial" w:hAnsi="Arial" w:eastAsia="Arial"/>
          <w:sz w:val="21"/>
        </w:rPr>
        <w:t>Назначить ежемесячный контроль: остаток долга, ставка, платёж, свободный денежный поток, восстановление оборота.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9F5E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ГОТОВО К ПОДПИСАНИЮ, ЕСЛИ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Статус и основание понятны; сумма обоснована; минимум два предложения сопоставлены; полная стоимость рассчитана; стресс-сценарий выдерживает платёж; условия после льготного периода понятны письменно.</w:t>
            </w:r>
          </w:p>
        </w:tc>
      </w:tr>
    </w:tbl>
    <w:p>
      <w:pPr>
        <w:pStyle w:val="Heading1"/>
      </w:pPr>
      <w:r>
        <w:t>После выдачи: 30 / 60 / 90 дней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4932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Контрольное действие</w:t>
            </w:r>
          </w:p>
        </w:tc>
        <w:tc>
          <w:tcPr>
            <w:tcW w:type="dxa" w:w="28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30 дней</w:t>
            </w:r>
          </w:p>
        </w:tc>
        <w:tc>
          <w:tcPr>
            <w:tcW w:type="dxa" w:w="493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проверить, что деньги пошли на восстановление оборота, а не растворились в текущем дефиците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если нет — заморозить необязательные расходы и пересчитать план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60 дней</w:t>
            </w:r>
          </w:p>
        </w:tc>
        <w:tc>
          <w:tcPr>
            <w:tcW w:type="dxa" w:w="493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сравнить фактическую выручку и валовую маржу с планом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при отставании — скорректировать закупки и долговую нагрузку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90 дней</w:t>
            </w:r>
          </w:p>
        </w:tc>
        <w:tc>
          <w:tcPr>
            <w:tcW w:type="dxa" w:w="493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оценить устойчивость обслуживания долга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при улучшении — рассмотреть досрочное погашение части долга; при ухудшении — обсуждать реструктуризацию заранее</w:t>
            </w:r>
          </w:p>
        </w:tc>
      </w:tr>
    </w:tbl>
    <w:p>
      <w:pPr>
        <w:pStyle w:val="Heading1"/>
      </w:pPr>
      <w:r>
        <w:t>Источники и дата проверки</w:t>
      </w:r>
    </w:p>
    <w:p>
      <w:hyperlink r:id="rId11">
        <w:r>
          <w:rPr>
            <w:color w:val="0563C1"/>
            <w:u w:val="single"/>
          </w:rPr>
          <w:t>Корпорация МСП — программа стимулирования кредитования для пострадавших селлеров</w:t>
        </w:r>
      </w:hyperlink>
    </w:p>
    <w:p>
      <w:hyperlink r:id="rId12">
        <w:r>
          <w:rPr>
            <w:color w:val="0563C1"/>
            <w:u w:val="single"/>
          </w:rPr>
          <w:t>Корпорация МСП — сообщение о запуске программы 11 сентября 2026 года</w:t>
        </w:r>
      </w:hyperlink>
    </w:p>
    <w:p>
      <w:hyperlink r:id="rId13">
        <w:r>
          <w:rPr>
            <w:color w:val="0563C1"/>
            <w:u w:val="single"/>
          </w:rPr>
          <w:t>Банк России — решение по ключевой ставке от 11 сентября 2026 года</w:t>
        </w:r>
      </w:hyperlink>
    </w:p>
    <w:p>
      <w:pPr>
        <w:pStyle w:val="SmallNote"/>
      </w:pPr>
      <w:r>
        <w:t>Дата фактчека: 14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6717C"/>
        <w:sz w:val="16"/>
      </w:rPr>
      <w:t xml:space="preserve">Фактчек: 14 сентября 2026 года  •  Стр. </w:t>
    </w: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color w:val="173A5E"/>
        <w:sz w:val="17"/>
      </w:rP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A5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45B8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A5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 w:eastAsia="Arial"/>
      <w:color w:val="66717C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orpmsp.ru/to-business/finansirovanie-lgotnye-programmy-kreditovaniya/psk_sellers/" TargetMode="External"/><Relationship Id="rId12" Type="http://schemas.openxmlformats.org/officeDocument/2006/relationships/hyperlink" Target="https://www.corpmsp.ru/about/press/news/novosti-korporatsii/postradavshim-ot-atak-na-obekty-gruppy-rvb-predprinimatelyam-stali-dostupny-lgotnye-kredity/" TargetMode="External"/><Relationship Id="rId13" Type="http://schemas.openxmlformats.org/officeDocument/2006/relationships/hyperlink" Target="https://cbr.ru/press/pr/?file=11092026_133000ke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