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64" w:lineRule="auto" w:after="80"/>
      </w:pPr>
      <w:r>
        <w:rPr>
          <w:b/>
          <w:color w:val="F26522"/>
          <w:sz w:val="21"/>
        </w:rPr>
        <w:t>БИЗНЕС ПОД МИКРОСКОПОМ • БИЗНЕС-СРЕДА</w:t>
      </w:r>
    </w:p>
    <w:p>
      <w:pPr>
        <w:spacing w:line="264" w:lineRule="auto" w:after="100"/>
      </w:pPr>
      <w:r>
        <w:rPr>
          <w:rFonts w:ascii="Arial" w:hAnsi="Arial"/>
          <w:b/>
          <w:color w:val="141414"/>
          <w:sz w:val="46"/>
        </w:rPr>
        <w:t>Поддержка пострадавших селлеров Wildberries: практическая памятка по постановлению № 1074</w:t>
      </w:r>
    </w:p>
    <w:p>
      <w:pPr>
        <w:spacing w:line="264" w:lineRule="auto" w:after="80"/>
      </w:pPr>
      <w:r>
        <w:rPr>
          <w:i/>
          <w:color w:val="6E6E73"/>
        </w:rPr>
        <w:t>Обновлено 27.08.2026 • постановление официально опубликовано 26.08.2026 и действует с этой даты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5185"/>
            <w:shd w:fill="141414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Статус</w:t>
            </w:r>
          </w:p>
        </w:tc>
        <w:tc>
          <w:tcPr>
            <w:tcW w:type="dxa" w:w="5185"/>
            <w:shd w:fill="141414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Значение</w:t>
            </w:r>
          </w:p>
        </w:tc>
      </w:tr>
      <w:tr>
        <w:tc>
          <w:tcPr>
            <w:tcW w:type="dxa" w:w="5185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Нормативный акт</w:t>
            </w:r>
          </w:p>
        </w:tc>
        <w:tc>
          <w:tcPr>
            <w:tcW w:type="dxa" w:w="5185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Постановление Правительства РФ от 25.08.2026 № 1074</w:t>
            </w:r>
          </w:p>
        </w:tc>
      </w:tr>
      <w:tr>
        <w:tc>
          <w:tcPr>
            <w:tcW w:type="dxa" w:w="5185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Официальное опубликование</w:t>
            </w:r>
          </w:p>
        </w:tc>
        <w:tc>
          <w:tcPr>
            <w:tcW w:type="dxa" w:w="5185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26.08.2026 • № опубликования 0001202608260001</w:t>
            </w:r>
          </w:p>
        </w:tc>
      </w:tr>
      <w:tr>
        <w:tc>
          <w:tcPr>
            <w:tcW w:type="dxa" w:w="5185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Вступление в силу</w:t>
            </w:r>
          </w:p>
        </w:tc>
        <w:tc>
          <w:tcPr>
            <w:tcW w:type="dxa" w:w="5185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26.08.2026 — со дня официального опубликования</w:t>
            </w:r>
          </w:p>
        </w:tc>
      </w:tr>
      <w:tr>
        <w:tc>
          <w:tcPr>
            <w:tcW w:type="dxa" w:w="5185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Ключевой gate</w:t>
            </w:r>
          </w:p>
        </w:tc>
        <w:tc>
          <w:tcPr>
            <w:tcW w:type="dxa" w:w="5185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Фактическое включение продавца в перечень, который формирует ООО «РВБ»</w:t>
            </w:r>
          </w:p>
        </w:tc>
      </w:tr>
      <w:tr>
        <w:tc>
          <w:tcPr>
            <w:tcW w:type="dxa" w:w="5185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Срочность</w:t>
            </w:r>
          </w:p>
        </w:tc>
        <w:tc>
          <w:tcPr>
            <w:tcW w:type="dxa" w:w="5185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Подготовить заранее и не прекращать платежи до подтверждения основания и включения в перечень</w:t>
            </w:r>
          </w:p>
        </w:tc>
      </w:tr>
    </w:tbl>
    <w:p>
      <w:pPr>
        <w:spacing w:line="264" w:lineRule="auto" w:after="80"/>
      </w:pPr>
    </w:p>
    <w:p>
      <w:pPr>
        <w:spacing w:line="264" w:lineRule="auto" w:after="80"/>
      </w:pPr>
    </w:p>
    <w:p>
      <w:pPr>
        <w:spacing w:line="264" w:lineRule="auto" w:after="80"/>
      </w:pPr>
      <w:r>
        <w:rPr>
          <w:b/>
          <w:color w:val="F26522"/>
        </w:rPr>
        <w:t>ГЛАВНОЕ ИЗМЕНЕНИЕ</w:t>
      </w:r>
      <w:r>
        <w:br/>
        <w:t>Теперь мера полностью перешла из стадии ожидания нормативного текста в стадию применения: известны дата вступления в силу, критерии получателей, порядок формирования перечней и налоговые последствия. Практический вопрос для селлера — не только посчитать ущерб, но и подтвердить фактическое включение в перечень РВБ.</w:t>
      </w:r>
    </w:p>
    <w:p>
      <w:pPr>
        <w:pStyle w:val="Heading1"/>
        <w:spacing w:line="264" w:lineRule="auto" w:before="180" w:after="80"/>
      </w:pPr>
      <w:r>
        <w:t>1. Быстрая проверка права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7"/>
        <w:gridCol w:w="3457"/>
        <w:gridCol w:w="3457"/>
      </w:tblGrid>
      <w:tr>
        <w:tc>
          <w:tcPr>
            <w:tcW w:type="dxa" w:w="3457"/>
            <w:shd w:fill="141414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Проверка</w:t>
            </w:r>
          </w:p>
        </w:tc>
        <w:tc>
          <w:tcPr>
            <w:tcW w:type="dxa" w:w="3457"/>
            <w:shd w:fill="141414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Да / нет / неизвестно</w:t>
            </w:r>
          </w:p>
        </w:tc>
        <w:tc>
          <w:tcPr>
            <w:tcW w:type="dxa" w:w="3457"/>
            <w:shd w:fill="141414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Что подтвердить</w:t>
            </w:r>
          </w:p>
        </w:tc>
      </w:tr>
      <w:tr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Есть действующий договор о реализации товаров на wildberries.ru с ООО «Вайлдберриз» или ООО «РВБ»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□ Да  □ Нет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Договор / данные ЛК</w:t>
            </w:r>
          </w:p>
        </w:tc>
      </w:tr>
      <w:tr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Ущерб связан с атаками на объекты группы «РВБ» начиная с июля 2026 года</w:t>
            </w:r>
          </w:p>
        </w:tc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□ Да  □ Нет</w:t>
            </w:r>
          </w:p>
        </w:tc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Документы/данные РВБ по пострадавшему объекту</w:t>
            </w:r>
          </w:p>
        </w:tc>
      </w:tr>
      <w:tr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Критерий А: расчётный ущерб превышает 5% доходов за 2025 год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□ Да  □ Нет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Расчёт ущерба + доход по правилам постановления</w:t>
            </w:r>
          </w:p>
        </w:tc>
      </w:tr>
      <w:tr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Критерий Б: ИП/организация зарегистрированы начиная с 01.12.2025 и понесли соответствующий ущерб</w:t>
            </w:r>
          </w:p>
        </w:tc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□ Да  □ Нет</w:t>
            </w:r>
          </w:p>
        </w:tc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Дата регистрации + подтверждение ущерба</w:t>
            </w:r>
          </w:p>
        </w:tc>
      </w:tr>
      <w:tr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Продавец включён в перечень РВБ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□ Да  □ Нет  □ Неизвестно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ЛК / коммуникации РВБ / отражение в налоговом контуре</w:t>
            </w:r>
          </w:p>
        </w:tc>
      </w:tr>
    </w:tbl>
    <w:p>
      <w:pPr>
        <w:spacing w:line="264" w:lineRule="auto" w:after="80"/>
      </w:pPr>
    </w:p>
    <w:p>
      <w:pPr>
        <w:spacing w:line="264" w:lineRule="auto" w:after="80"/>
      </w:pPr>
      <w:r>
        <w:rPr>
          <w:b/>
          <w:color w:val="F26522"/>
        </w:rPr>
        <w:t xml:space="preserve">STOP-УСЛОВИЕ. </w:t>
      </w:r>
      <w:r>
        <w:t>Не прекращайте налоговые платежи самостоятельно, если включение в перечень ещё не подтверждено. Сам факт ущерба или соответствие расчётному критерию не заменяет проверку фактического применения меры к конкретному продавцу.</w:t>
      </w:r>
    </w:p>
    <w:p>
      <w:pPr>
        <w:pStyle w:val="Heading1"/>
        <w:spacing w:line="264" w:lineRule="auto" w:before="180" w:after="80"/>
      </w:pPr>
      <w:r>
        <w:t>2. Что проверить в расчёте ущерба и дохода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7"/>
        <w:gridCol w:w="3457"/>
        <w:gridCol w:w="3457"/>
      </w:tblGrid>
      <w:tr>
        <w:tc>
          <w:tcPr>
            <w:tcW w:type="dxa" w:w="3457"/>
            <w:shd w:fill="141414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Показатель</w:t>
            </w:r>
          </w:p>
        </w:tc>
        <w:tc>
          <w:tcPr>
            <w:tcW w:type="dxa" w:w="3457"/>
            <w:shd w:fill="141414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Поле</w:t>
            </w:r>
          </w:p>
        </w:tc>
        <w:tc>
          <w:tcPr>
            <w:tcW w:type="dxa" w:w="3457"/>
            <w:shd w:fill="141414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Контроль</w:t>
            </w:r>
          </w:p>
        </w:tc>
      </w:tr>
      <w:tr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Доход за 2025 год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____________ ₽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Определять по правилам постановления, а не произвольной управленческой выручке</w:t>
            </w:r>
          </w:p>
        </w:tc>
      </w:tr>
      <w:tr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Расчётный ущерб</w:t>
            </w:r>
          </w:p>
        </w:tc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____________ ₽</w:t>
            </w:r>
          </w:p>
        </w:tc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Сверить с механизмом РВБ и подтверждающими документами</w:t>
            </w:r>
          </w:p>
        </w:tc>
      </w:tr>
      <w:tr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Доля ущерба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____________ %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Ущерб ÷ доход × 100%</w:t>
            </w:r>
          </w:p>
        </w:tc>
      </w:tr>
      <w:tr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Критерий А</w:t>
            </w:r>
          </w:p>
        </w:tc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□ &gt;5%  □ ≤5%</w:t>
            </w:r>
          </w:p>
        </w:tc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По документу требуется именно превышение 5%</w:t>
            </w:r>
          </w:p>
        </w:tc>
      </w:tr>
      <w:tr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Дата регистрации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__.__.____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Для критерия Б — начиная с 01.12.2025</w:t>
            </w:r>
          </w:p>
        </w:tc>
      </w:tr>
    </w:tbl>
    <w:p>
      <w:pPr>
        <w:spacing w:line="264" w:lineRule="auto" w:after="80"/>
      </w:pPr>
    </w:p>
    <w:p>
      <w:pPr>
        <w:pStyle w:val="Heading1"/>
        <w:spacing w:line="264" w:lineRule="auto" w:before="180" w:after="80"/>
      </w:pPr>
      <w:r>
        <w:t>3. Какие обязательства проверить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7"/>
        <w:gridCol w:w="3457"/>
        <w:gridCol w:w="3457"/>
      </w:tblGrid>
      <w:tr>
        <w:tc>
          <w:tcPr>
            <w:tcW w:type="dxa" w:w="3457"/>
            <w:shd w:fill="141414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Платёж / обязательство</w:t>
            </w:r>
          </w:p>
        </w:tc>
        <w:tc>
          <w:tcPr>
            <w:tcW w:type="dxa" w:w="3457"/>
            <w:shd w:fill="141414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Период контроля</w:t>
            </w:r>
          </w:p>
        </w:tc>
        <w:tc>
          <w:tcPr>
            <w:tcW w:type="dxa" w:w="3457"/>
            <w:shd w:fill="141414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Что сделать</w:t>
            </w:r>
          </w:p>
        </w:tc>
      </w:tr>
      <w:tr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НДС, кроме ввозного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Сроки уплаты август 2026 — июль 2027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Сверить суммы и новые сроки</w:t>
            </w:r>
          </w:p>
        </w:tc>
      </w:tr>
      <w:tr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Налог на прибыль</w:t>
            </w:r>
          </w:p>
        </w:tc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Август 2026 — июль 2027</w:t>
            </w:r>
          </w:p>
        </w:tc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Сверить календарь</w:t>
            </w:r>
          </w:p>
        </w:tc>
      </w:tr>
      <w:tr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УСН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Август 2026 — июль 2027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Сверить календарь</w:t>
            </w:r>
          </w:p>
        </w:tc>
      </w:tr>
      <w:tr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АУСН</w:t>
            </w:r>
          </w:p>
        </w:tc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Август 2026 — июль 2027</w:t>
            </w:r>
          </w:p>
        </w:tc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Сверить применимость и новый срок</w:t>
            </w:r>
          </w:p>
        </w:tc>
      </w:tr>
      <w:tr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НПД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Август 2026 — июль 2027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Сверить применимость и новый срок</w:t>
            </w:r>
          </w:p>
        </w:tc>
      </w:tr>
      <w:tr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НДФЛ ИП от предпринимательской деятельности</w:t>
            </w:r>
          </w:p>
        </w:tc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Август 2026 — июль 2027</w:t>
            </w:r>
          </w:p>
        </w:tc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Не смешивать с обязанностями налогового агента</w:t>
            </w:r>
          </w:p>
        </w:tc>
      </w:tr>
      <w:tr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Страховые взносы и соответствующие авансовые платежи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Август 2026 — июль 2027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Сверить применимость по конкретному плательщику</w:t>
            </w:r>
          </w:p>
        </w:tc>
      </w:tr>
    </w:tbl>
    <w:p>
      <w:pPr>
        <w:spacing w:line="264" w:lineRule="auto" w:after="80"/>
      </w:pPr>
    </w:p>
    <w:p>
      <w:pPr>
        <w:spacing w:line="264" w:lineRule="auto" w:after="80"/>
      </w:pPr>
      <w:r>
        <w:t>Для большинства отсроченных сумм предусмотрена последующая уплата равными долями — по 1/12 ежемесячно. Конкретный график по своему набору обязательств нужно сверить с налоговым календарём и отражением в ЕНС/ЛК.</w:t>
      </w:r>
    </w:p>
    <w:p>
      <w:pPr>
        <w:pStyle w:val="Heading1"/>
        <w:spacing w:line="264" w:lineRule="auto" w:before="180" w:after="80"/>
      </w:pPr>
      <w:r>
        <w:t>4. Как формируется право на поддержку</w:t>
      </w:r>
    </w:p>
    <w:p>
      <w:pPr>
        <w:pStyle w:val="ListNumber"/>
        <w:spacing w:after="80" w:line="264" w:lineRule="auto"/>
      </w:pPr>
      <w:r>
        <w:t>ООО «РВБ» формирует перечни пострадавших продавцов.</w:t>
      </w:r>
    </w:p>
    <w:p>
      <w:pPr>
        <w:pStyle w:val="ListNumber"/>
        <w:spacing w:after="80" w:line="264" w:lineRule="auto"/>
      </w:pPr>
      <w:r>
        <w:t>Перечни направляются в ФНС и соответствующие органы страховщика ежемесячно не позднее 10-го числа.</w:t>
      </w:r>
    </w:p>
    <w:p>
      <w:pPr>
        <w:pStyle w:val="ListNumber"/>
        <w:spacing w:after="80" w:line="264" w:lineRule="auto"/>
      </w:pPr>
      <w:r>
        <w:t>Первый перечень должен быть направлен в течение двух календарных дней со дня официального опубликования постановления.</w:t>
      </w:r>
    </w:p>
    <w:p>
      <w:pPr>
        <w:pStyle w:val="ListNumber"/>
        <w:spacing w:after="80" w:line="264" w:lineRule="auto"/>
      </w:pPr>
      <w:r>
        <w:t>Продавцу нужно контролировать ЛК Wildberries/РВБ, коммуникации и отражение новых сроков в налоговом контуре.</w:t>
      </w:r>
    </w:p>
    <w:p>
      <w:pPr>
        <w:pStyle w:val="ListNumber"/>
        <w:spacing w:after="80" w:line="264" w:lineRule="auto"/>
      </w:pPr>
      <w:r>
        <w:t>Только после подтверждения применения меры пересобирать платёжный календарь и cash-flow.</w:t>
      </w:r>
    </w:p>
    <w:p>
      <w:pPr>
        <w:pStyle w:val="Heading1"/>
        <w:spacing w:line="264" w:lineRule="auto" w:before="180" w:after="80"/>
      </w:pPr>
      <w:r>
        <w:t>5. Матрица действий по срокам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7"/>
        <w:gridCol w:w="3457"/>
        <w:gridCol w:w="3457"/>
      </w:tblGrid>
      <w:tr>
        <w:tc>
          <w:tcPr>
            <w:tcW w:type="dxa" w:w="3457"/>
            <w:shd w:fill="141414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Когда</w:t>
            </w:r>
          </w:p>
        </w:tc>
        <w:tc>
          <w:tcPr>
            <w:tcW w:type="dxa" w:w="3457"/>
            <w:shd w:fill="141414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Действие</w:t>
            </w:r>
          </w:p>
        </w:tc>
        <w:tc>
          <w:tcPr>
            <w:tcW w:type="dxa" w:w="3457"/>
            <w:shd w:fill="141414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Результат / документ</w:t>
            </w:r>
          </w:p>
        </w:tc>
      </w:tr>
      <w:tr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Сейчас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Проверить договор, критерий А/Б, расчёт ущерба и доход 2025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Папка подтверждений</w:t>
            </w:r>
          </w:p>
        </w:tc>
      </w:tr>
      <w:tr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Сейчас</w:t>
            </w:r>
          </w:p>
        </w:tc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Проверить ЛК и коммуникации с Wildberries/РВБ по перечню</w:t>
            </w:r>
          </w:p>
        </w:tc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Статус включения</w:t>
            </w:r>
          </w:p>
        </w:tc>
      </w:tr>
      <w:tr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До изменения платежей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Сверить ЕНС/ЛК ФНС и налоговый календарь с бухгалтером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Подтверждённые новые сроки</w:t>
            </w:r>
          </w:p>
        </w:tc>
      </w:tr>
      <w:tr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Авг.2026 — июл.2027</w:t>
            </w:r>
          </w:p>
        </w:tc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Вести реестр обязательств, подпадающих под перенос</w:t>
            </w:r>
          </w:p>
        </w:tc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Обновляемый налоговый календарь</w:t>
            </w:r>
          </w:p>
        </w:tc>
      </w:tr>
      <w:tr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Ежемесячно до 10-го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Проверять актуализацию перечня, если статус ещё не подтверждён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Контроль применения</w:t>
            </w:r>
          </w:p>
        </w:tc>
      </w:tr>
      <w:tr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До 31.12.2026</w:t>
            </w:r>
          </w:p>
        </w:tc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Учитывать приостановление отдельных выездных налоговых проверок и связанных сроков</w:t>
            </w:r>
          </w:p>
        </w:tc>
        <w:tc>
          <w:tcPr>
            <w:tcW w:type="dxa" w:w="3457"/>
            <w:shd w:fill="F6F3EE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Не трактовать как отмену всех форм контроля</w:t>
            </w:r>
          </w:p>
        </w:tc>
      </w:tr>
      <w:tr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После окончания отсрочки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Заранее подготовить денежный резерв под последующую уплату</w:t>
            </w:r>
          </w:p>
        </w:tc>
        <w:tc>
          <w:tcPr>
            <w:tcW w:type="dxa" w:w="3457"/>
            <w:shd w:fill="FFFFFF"/>
            <w:tcBorders>
              <w:top w:val="single" w:sz="5" w:color="E7E2DB"/>
              <w:left w:val="single" w:sz="5" w:color="E7E2DB"/>
              <w:bottom w:val="single" w:sz="5" w:color="E7E2DB"/>
              <w:right w:val="single" w:sz="5" w:color="E7E2DB"/>
              <w:insideH w:val="single" w:sz="5" w:color="E7E2DB"/>
              <w:insideV w:val="single" w:sz="5" w:color="E7E2DB"/>
            </w:tcBorders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141414"/>
                <w:sz w:val="16"/>
              </w:rPr>
              <w:t>План ликвидности</w:t>
            </w:r>
          </w:p>
        </w:tc>
      </w:tr>
    </w:tbl>
    <w:p>
      <w:pPr>
        <w:spacing w:line="264" w:lineRule="auto" w:after="80"/>
      </w:pPr>
    </w:p>
    <w:p>
      <w:pPr>
        <w:pStyle w:val="Heading1"/>
        <w:spacing w:line="264" w:lineRule="auto" w:before="180" w:after="80"/>
      </w:pPr>
      <w:r>
        <w:t>6. Пакет доказательств</w:t>
      </w:r>
    </w:p>
    <w:p>
      <w:pPr>
        <w:pStyle w:val="ListBullet"/>
        <w:spacing w:after="80" w:line="264" w:lineRule="auto"/>
      </w:pPr>
      <w:r>
        <w:t>данные/выгрузки из личного кабинета о товарах и пострадавшем объекте;</w:t>
      </w:r>
    </w:p>
    <w:p>
      <w:pPr>
        <w:pStyle w:val="ListBullet"/>
        <w:spacing w:after="80" w:line="264" w:lineRule="auto"/>
      </w:pPr>
      <w:r>
        <w:t>реестр SKU/артикулов, количество и стоимость утраченного или повреждённого товара;</w:t>
      </w:r>
    </w:p>
    <w:p>
      <w:pPr>
        <w:pStyle w:val="ListBullet"/>
        <w:spacing w:after="80" w:line="264" w:lineRule="auto"/>
      </w:pPr>
      <w:r>
        <w:t>документы по себестоимости/стоимости имущества;</w:t>
      </w:r>
    </w:p>
    <w:p>
      <w:pPr>
        <w:pStyle w:val="ListBullet"/>
        <w:spacing w:after="80" w:line="264" w:lineRule="auto"/>
      </w:pPr>
      <w:r>
        <w:t>акты, уведомления, переписка и другие подтверждения ущерба;</w:t>
      </w:r>
    </w:p>
    <w:p>
      <w:pPr>
        <w:pStyle w:val="ListBullet"/>
        <w:spacing w:after="80" w:line="264" w:lineRule="auto"/>
      </w:pPr>
      <w:r>
        <w:t>расчёт итоговой суммы ущерба с расшифровкой;</w:t>
      </w:r>
    </w:p>
    <w:p>
      <w:pPr>
        <w:pStyle w:val="ListBullet"/>
        <w:spacing w:after="80" w:line="264" w:lineRule="auto"/>
      </w:pPr>
      <w:r>
        <w:t>документы, из которых воспроизводится доход за 2025 год по правилам постановления;</w:t>
      </w:r>
    </w:p>
    <w:p>
      <w:pPr>
        <w:pStyle w:val="ListBullet"/>
        <w:spacing w:after="80" w:line="264" w:lineRule="auto"/>
      </w:pPr>
      <w:r>
        <w:t>подтверждение включения в перечень РВБ или сохраняемая коммуникация о статусе.</w:t>
      </w:r>
    </w:p>
    <w:p>
      <w:pPr>
        <w:pStyle w:val="Heading1"/>
        <w:spacing w:line="264" w:lineRule="auto" w:before="180" w:after="80"/>
      </w:pPr>
      <w:r>
        <w:t>7. Сообщение бухгалтеру</w:t>
      </w:r>
    </w:p>
    <w:p>
      <w:pPr>
        <w:spacing w:line="264" w:lineRule="auto" w:after="80"/>
      </w:pPr>
      <w:r>
        <w:rPr>
          <w:b/>
          <w:color w:val="F26522"/>
        </w:rPr>
        <w:t>ШАБЛОН</w:t>
      </w:r>
    </w:p>
    <w:p>
      <w:pPr>
        <w:spacing w:line="264" w:lineRule="auto" w:after="80"/>
      </w:pPr>
      <w:r>
        <w:t>«Постановление Правительства РФ от 25.08.2026 № 1074 официально опубликовано 26.08.2026 и действует с этой даты. Проверь, пожалуйста: (1) соответствуем ли мы критерию А или Б; (2) включены ли мы в перечень РВБ; (3) какие наши платежи со сроками август 2026 — июль 2027 подпадают под перенос; (4) как новые сроки отражены в ЕНС/ЛК; (5) какой резерв нужно заложить под последующую уплату. До подтверждения применения меры платежи самостоятельно не останавливаем.»</w:t>
      </w:r>
    </w:p>
    <w:p>
      <w:pPr>
        <w:pStyle w:val="Heading1"/>
        <w:spacing w:line="264" w:lineRule="auto" w:before="180" w:after="80"/>
      </w:pPr>
      <w:r>
        <w:t>8. Налоговые проверки и взыскание</w:t>
      </w:r>
    </w:p>
    <w:p>
      <w:pPr>
        <w:pStyle w:val="ListBullet"/>
        <w:spacing w:after="80" w:line="264" w:lineRule="auto"/>
      </w:pPr>
      <w:r>
        <w:t>До 31 декабря 2026 года включительно приостанавливаются отдельные выездные налоговые проверки и связанные с ними процессуальные сроки.</w:t>
      </w:r>
    </w:p>
    <w:p>
      <w:pPr>
        <w:pStyle w:val="ListBullet"/>
        <w:spacing w:after="80" w:line="264" w:lineRule="auto"/>
      </w:pPr>
      <w:r>
        <w:t>Предельные сроки направления требований об уплате задолженности и вынесения решений о взыскании продлеваются на 6 месяцев.</w:t>
      </w:r>
    </w:p>
    <w:p>
      <w:pPr>
        <w:pStyle w:val="ListBullet"/>
        <w:spacing w:after="80" w:line="264" w:lineRule="auto"/>
      </w:pPr>
      <w:r>
        <w:t>Эти меры не означают отмену налогового контроля и не освобождают от корректного учёта и подтверждающих документов.</w:t>
      </w:r>
    </w:p>
    <w:p>
      <w:pPr>
        <w:pStyle w:val="Heading1"/>
        <w:spacing w:line="264" w:lineRule="auto" w:before="180" w:after="80"/>
      </w:pPr>
      <w:r>
        <w:t>9. Красные флаги</w:t>
      </w:r>
    </w:p>
    <w:p>
      <w:pPr>
        <w:pStyle w:val="ListBullet"/>
        <w:spacing w:after="80" w:line="264" w:lineRule="auto"/>
      </w:pPr>
      <w:r>
        <w:t>продавец решил, что право есть автоматически только из-за работы на Wildberries;</w:t>
      </w:r>
    </w:p>
    <w:p>
      <w:pPr>
        <w:pStyle w:val="ListBullet"/>
        <w:spacing w:after="80" w:line="264" w:lineRule="auto"/>
      </w:pPr>
      <w:r>
        <w:t>ущерб посчитан приблизительно и его нельзя воспроизвести по документам;</w:t>
      </w:r>
    </w:p>
    <w:p>
      <w:pPr>
        <w:pStyle w:val="ListBullet"/>
        <w:spacing w:after="80" w:line="264" w:lineRule="auto"/>
      </w:pPr>
      <w:r>
        <w:t>критерий &gt;5% считается от произвольной управленческой выручки, а не по правилам постановления;</w:t>
      </w:r>
    </w:p>
    <w:p>
      <w:pPr>
        <w:pStyle w:val="ListBullet"/>
        <w:spacing w:after="80" w:line="264" w:lineRule="auto"/>
      </w:pPr>
      <w:r>
        <w:t>включение в перечень РВБ не проверено, но платежи уже остановлены;</w:t>
      </w:r>
    </w:p>
    <w:p>
      <w:pPr>
        <w:pStyle w:val="ListBullet"/>
        <w:spacing w:after="80" w:line="264" w:lineRule="auto"/>
      </w:pPr>
      <w:r>
        <w:t>высвободившийся налоговый cash воспринимается как прибыль и расходуется без резерва;</w:t>
      </w:r>
    </w:p>
    <w:p>
      <w:pPr>
        <w:pStyle w:val="ListBullet"/>
        <w:spacing w:after="80" w:line="264" w:lineRule="auto"/>
      </w:pPr>
      <w:r>
        <w:t>государственная отсрочка смешивается с выплатами/кредитными каникулами/страхованием Wildberries в одну «компенсацию».</w:t>
      </w:r>
    </w:p>
    <w:p>
      <w:pPr>
        <w:pStyle w:val="Heading1"/>
        <w:spacing w:line="264" w:lineRule="auto" w:before="180" w:after="80"/>
      </w:pPr>
      <w:r>
        <w:t>10. Решение</w:t>
      </w:r>
    </w:p>
    <w:p>
      <w:pPr>
        <w:spacing w:line="264" w:lineRule="auto" w:after="80"/>
      </w:pPr>
      <w:r>
        <w:rPr>
          <w:b/>
          <w:color w:val="F26522"/>
        </w:rPr>
        <w:t xml:space="preserve">ДЕЙСТВОВАТЬ СЕЙЧАС — ПОСЛЕ ПОДТВЕРЖДЕНИЯ ПЕРЕЧНЯ. </w:t>
      </w:r>
      <w:r>
        <w:t>Нормативная база уже опубликована и действует. Практический gate — соответствие критериям и фактическое включение в перечень РВБ. После этого нужно синхронизировать налоговый календарь с ЕНС/ЛК и управлять отсроченными суммами как временно сохранённой ликвидностью, а не как прибылью.</w:t>
      </w:r>
    </w:p>
    <w:p>
      <w:pPr>
        <w:pStyle w:val="Heading1"/>
        <w:spacing w:line="264" w:lineRule="auto" w:before="180" w:after="80"/>
      </w:pPr>
      <w:r>
        <w:t>Источники</w:t>
      </w:r>
    </w:p>
    <w:p>
      <w:pPr>
        <w:spacing w:line="264" w:lineRule="auto" w:after="80"/>
      </w:pPr>
      <w:r>
        <w:rPr>
          <w:b/>
        </w:rPr>
        <w:t xml:space="preserve">Официальный интернет-портал правовой информации — постановление № 1074 — </w:t>
      </w:r>
      <w:r>
        <w:t>https://publication.pravo.gov.ru/document/0001202608260001</w:t>
      </w:r>
    </w:p>
    <w:p>
      <w:pPr>
        <w:spacing w:line="264" w:lineRule="auto" w:after="80"/>
      </w:pPr>
      <w:r>
        <w:rPr>
          <w:b/>
        </w:rPr>
        <w:t xml:space="preserve">Правительство РФ — сообщение и материалы по постановлению — </w:t>
      </w:r>
      <w:r>
        <w:t>https://government.ru/news/59678/</w:t>
      </w:r>
    </w:p>
    <w:p>
      <w:pPr>
        <w:spacing w:line="264" w:lineRule="auto" w:after="80"/>
      </w:pPr>
      <w:r>
        <w:rPr>
          <w:b/>
        </w:rPr>
        <w:t xml:space="preserve">Постановление Правительства РФ от 25.08.2026 № 1074 — </w:t>
      </w:r>
      <w:r>
        <w:t>https://static.government.ru/media/files/7aKw0x9QUDrOnd9da0ABDlaOx50imZBH.pdf</w:t>
      </w:r>
    </w:p>
    <w:p>
      <w:pPr>
        <w:spacing w:line="264" w:lineRule="auto" w:after="80"/>
      </w:pPr>
      <w:r>
        <w:rPr>
          <w:b/>
        </w:rPr>
        <w:t xml:space="preserve">Фактчек: 27 августа 2026 года. </w:t>
      </w:r>
      <w:r>
        <w:t>Памятка подготовлена как практический инструмент общего характера и не заменяет индивидуальную налоговую или юридическую консультацию. Для конкретного плательщика сверяйте фактическое включение в перечень и отражение сроков в ЕНС/личном кабинете.</w:t>
      </w:r>
    </w:p>
    <w:sectPr w:rsidR="00FC693F" w:rsidRPr="0006063C" w:rsidSect="00034616">
      <w:pgSz w:w="12240" w:h="15840"/>
      <w:pgMar w:top="879" w:right="935" w:bottom="879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141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41414"/>
      <w:sz w:val="3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4141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41414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41414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