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173A5E"/>
            <w:tcMar>
              <w:top w:w="50" w:type="dxa"/>
              <w:start w:w="120" w:type="dxa"/>
              <w:bottom w:w="50" w:type="dxa"/>
              <w:end w:w="12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БИЗНЕС-СРЕДА</w:t>
            </w:r>
          </w:p>
        </w:tc>
      </w:tr>
    </w:tbl>
    <w:p>
      <w:pPr>
        <w:pStyle w:val="Title"/>
      </w:pPr>
      <w:r>
        <w:t>Льготные кредиты пострадавшим селлерам РВБ: практическое разъяснение для МСП</w:t>
      </w:r>
    </w:p>
    <w:p>
      <w:r>
        <w:rPr>
          <w:rFonts w:ascii="Arial" w:hAnsi="Arial" w:eastAsia="Arial"/>
          <w:b w:val="0"/>
          <w:i/>
          <w:color w:val="66717C"/>
          <w:sz w:val="22"/>
        </w:rPr>
        <w:t>Как проверить право на программу, оценить стоимость займа и подготовиться к обращению в банк без смешения с налоговой отсрочкой.</w:t>
      </w:r>
    </w:p>
    <w:p>
      <w:pPr>
        <w:pStyle w:val="SmallNote"/>
      </w:pPr>
      <w:r>
        <w:t>Проверено: 14 сентября 2026 года. Материал носит информационный характер; конкретное кредитное решение и пакет документов определяет банк.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B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НАЗНАЧЕНИЕ ДОКУМЕНТА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Рабочее разъяснение для собственника, финансового руководителя или бухгалтера. Оно помогает понять параметры программы и подготовить заявку, но не заменяет кредитное решение банка.</w:t>
            </w:r>
          </w:p>
        </w:tc>
      </w:tr>
    </w:tbl>
    <w:p>
      <w:pPr>
        <w:pStyle w:val="Heading1"/>
      </w:pPr>
      <w:r>
        <w:t>1. Коротко о программе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2268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288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Подтверждённое значение</w:t>
            </w:r>
          </w:p>
        </w:tc>
        <w:tc>
          <w:tcPr>
            <w:tcW w:type="dxa" w:w="3572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Практический смысл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Старт выдачи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 11 сентября 2026 года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У конкретного банка нужно проверить фактический старт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Лимит программы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50 млрд ₽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Общий объём программы, а не лимит одного заемщика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Сумма кредита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500 тыс.–500 млн ₽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Размер заявки должен быть обоснован потребностью в оборотке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Ставка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ключевая ставка + до 3 п.п.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При ключевой 14% текущий верхний ориентир — до 17%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Период льготной ставки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1,5 года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Не равен автоматически сроку всего кредитного договора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Цель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пополнение оборотных средств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Товар, сырьё, логистика и иные текущие расходы — в пределах условий банка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Банки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73 участника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Дату фактического старта нужно уточнять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Поручительство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до 50% суммы кредита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Помогает при недостатке залога; не гарантирует одобрение</w:t>
            </w:r>
          </w:p>
        </w:tc>
      </w:tr>
      <w:tr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Договоры</w:t>
            </w:r>
          </w:p>
        </w:tc>
        <w:tc>
          <w:tcPr>
            <w:tcW w:type="dxa" w:w="328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официальная страница указывает договоры с 01.07.2026</w:t>
            </w:r>
          </w:p>
        </w:tc>
        <w:tc>
          <w:tcPr>
            <w:tcW w:type="dxa" w:w="357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Для уже заключённых договоров нужен отдельный вопрос банку</w:t>
            </w:r>
          </w:p>
        </w:tc>
      </w:tr>
    </w:tbl>
    <w:p>
      <w:pPr>
        <w:pStyle w:val="Heading1"/>
      </w:pPr>
      <w:r>
        <w:t>2. Кому доступна мера</w:t>
      </w:r>
    </w:p>
    <w:p>
      <w:r>
        <w:t>На официальной странице программы категория получателей сформулирована как компании, пострадавшие от ударов по складам ООО «РВБ». Далее применяются общие критерии программы стимулирования кредитования.</w:t>
      </w:r>
    </w:p>
    <w:p>
      <w:pPr>
        <w:pStyle w:val="ListBullet"/>
      </w:pPr>
      <w:r>
        <w:rPr>
          <w:rFonts w:ascii="Arial" w:hAnsi="Arial" w:eastAsia="Arial"/>
          <w:sz w:val="21"/>
        </w:rPr>
        <w:t>наличие в Едином реестре субъектов МСП;</w:t>
      </w:r>
    </w:p>
    <w:p>
      <w:pPr>
        <w:pStyle w:val="ListBullet"/>
      </w:pPr>
      <w:r>
        <w:rPr>
          <w:rFonts w:ascii="Arial" w:hAnsi="Arial" w:eastAsia="Arial"/>
          <w:sz w:val="21"/>
        </w:rPr>
        <w:t>отсутствие процедур банкротства; действующий статус ИП;</w:t>
      </w:r>
    </w:p>
    <w:p>
      <w:pPr>
        <w:pStyle w:val="ListBullet"/>
      </w:pPr>
      <w:r>
        <w:rPr>
          <w:rFonts w:ascii="Arial" w:hAnsi="Arial" w:eastAsia="Arial"/>
          <w:sz w:val="21"/>
        </w:rPr>
        <w:t>отсутствие принадлежности к исключённым финансовым и иным категориям;</w:t>
      </w:r>
    </w:p>
    <w:p>
      <w:pPr>
        <w:pStyle w:val="ListBullet"/>
      </w:pPr>
      <w:r>
        <w:rPr>
          <w:rFonts w:ascii="Arial" w:hAnsi="Arial" w:eastAsia="Arial"/>
          <w:sz w:val="21"/>
        </w:rPr>
        <w:t>отсутствие группы с крупным бизнесом, где доля участия превышает 25%;</w:t>
      </w:r>
    </w:p>
    <w:p>
      <w:pPr>
        <w:pStyle w:val="ListBullet"/>
      </w:pPr>
      <w:r>
        <w:rPr>
          <w:rFonts w:ascii="Arial" w:hAnsi="Arial" w:eastAsia="Arial"/>
          <w:sz w:val="21"/>
        </w:rPr>
        <w:t>цель финансирования — пополнение оборотных средств.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FF4CC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НЕ ПУТАТЬ С ПОСТАНОВЛЕНИЕМ № 1074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Порог ущерба более 5% годового дохода относится к налоговой мере. На странице кредитной программы этот порог в требованиях к заемщику не указан. Не переносите его автоматически.</w:t>
            </w:r>
          </w:p>
        </w:tc>
      </w:tr>
    </w:tbl>
    <w:p>
      <w:pPr>
        <w:pStyle w:val="Heading1"/>
      </w:pPr>
      <w:r>
        <w:t>3. Что подготовить до обращения в банк</w:t>
      </w:r>
    </w:p>
    <w:p>
      <w:r>
        <w:t>Корпорация МСП не публикует единый обязательный список документов: заемщик готовит документы по внутренним требованиям банка. Чтобы не терять время, полезно заранее собрать папку готовности: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1757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4649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Что подготовить заранее</w:t>
            </w:r>
          </w:p>
        </w:tc>
        <w:tc>
          <w:tcPr>
            <w:tcW w:type="dxa" w:w="283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Статус документа</w:t>
            </w:r>
          </w:p>
        </w:tc>
      </w:tr>
      <w:tr>
        <w:tc>
          <w:tcPr>
            <w:tcW w:type="dxa" w:w="175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Статус МСП</w:t>
            </w:r>
          </w:p>
        </w:tc>
        <w:tc>
          <w:tcPr>
            <w:tcW w:type="dxa" w:w="464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выписка/проверка записи в Едином реестре МСП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официальная проверка</w:t>
            </w:r>
          </w:p>
        </w:tc>
      </w:tr>
      <w:tr>
        <w:tc>
          <w:tcPr>
            <w:tcW w:type="dxa" w:w="175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Связь с РВБ</w:t>
            </w:r>
          </w:p>
        </w:tc>
        <w:tc>
          <w:tcPr>
            <w:tcW w:type="dxa" w:w="464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договор/оферта, сведения о товарах и пострадавшем объекте, доступные справки/уведомления из кабинета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readiness; обязательность уточняет банк</w:t>
            </w:r>
          </w:p>
        </w:tc>
      </w:tr>
      <w:tr>
        <w:tc>
          <w:tcPr>
            <w:tcW w:type="dxa" w:w="175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Ущерб</w:t>
            </w:r>
          </w:p>
        </w:tc>
        <w:tc>
          <w:tcPr>
            <w:tcW w:type="dxa" w:w="464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реестр пострадавших товаров, расчёты, акты, переписка, подтверждение стоимости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readiness; формат зависит от банка</w:t>
            </w:r>
          </w:p>
        </w:tc>
      </w:tr>
      <w:tr>
        <w:tc>
          <w:tcPr>
            <w:tcW w:type="dxa" w:w="175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Финансы</w:t>
            </w:r>
          </w:p>
        </w:tc>
        <w:tc>
          <w:tcPr>
            <w:tcW w:type="dxa" w:w="464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управленческий P&amp;L, обороты, налоговая отчётность, выписки, текущий долг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типичный банковский блок; перечень уточняет банк</w:t>
            </w:r>
          </w:p>
        </w:tc>
      </w:tr>
      <w:tr>
        <w:tc>
          <w:tcPr>
            <w:tcW w:type="dxa" w:w="175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Оборотная потребность</w:t>
            </w:r>
          </w:p>
        </w:tc>
        <w:tc>
          <w:tcPr>
            <w:tcW w:type="dxa" w:w="464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расчёт закупки, логистики, текущих платежей и запаса ликвидности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внутреннее обоснование суммы</w:t>
            </w:r>
          </w:p>
        </w:tc>
      </w:tr>
      <w:tr>
        <w:tc>
          <w:tcPr>
            <w:tcW w:type="dxa" w:w="175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Обеспечение</w:t>
            </w:r>
          </w:p>
        </w:tc>
        <w:tc>
          <w:tcPr>
            <w:tcW w:type="dxa" w:w="464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перечень доступного залога/поручителей; вопрос о зонтичном поручительстве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структура сделки</w:t>
            </w:r>
          </w:p>
        </w:tc>
      </w:tr>
    </w:tbl>
    <w:p>
      <w:pPr>
        <w:pStyle w:val="Heading1"/>
      </w:pPr>
      <w:r>
        <w:t>4. Как рассчитать сумму заявки</w:t>
      </w:r>
    </w:p>
    <w:p>
      <w:r>
        <w:t>Главная ошибка — ориентироваться на верхний лимит программы вместо денежной потребности бизнеса. Рабочая формула: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B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СУММА ЗАЯВКИ ≈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подтверждённый кассовый разрыв + минимальный запас ликвидности − доступные собственные средства и другие подтверждённые источники.</w:t>
            </w:r>
          </w:p>
        </w:tc>
      </w:tr>
    </w:tbl>
    <w:p>
      <w:pPr>
        <w:pStyle w:val="ListBullet"/>
      </w:pPr>
      <w:r>
        <w:rPr>
          <w:rFonts w:ascii="Arial" w:hAnsi="Arial" w:eastAsia="Arial"/>
          <w:sz w:val="21"/>
        </w:rPr>
        <w:t>Разделите разовый ущерб и ежемесячный операционный дефицит.</w:t>
      </w:r>
    </w:p>
    <w:p>
      <w:pPr>
        <w:pStyle w:val="ListBullet"/>
      </w:pPr>
      <w:r>
        <w:rPr>
          <w:rFonts w:ascii="Arial" w:hAnsi="Arial" w:eastAsia="Arial"/>
          <w:sz w:val="21"/>
        </w:rPr>
        <w:t>Не финансируйте кредитом расходы, которые не создают пути к восстановлению денежного потока.</w:t>
      </w:r>
    </w:p>
    <w:p>
      <w:pPr>
        <w:pStyle w:val="ListBullet"/>
      </w:pPr>
      <w:r>
        <w:rPr>
          <w:rFonts w:ascii="Arial" w:hAnsi="Arial" w:eastAsia="Arial"/>
          <w:sz w:val="21"/>
        </w:rPr>
        <w:t>Сделайте стресс-сценарий: продажи восстанавливаются медленнее, маржа ниже, а первый платёж наступает раньше ожидаемого.</w:t>
      </w:r>
    </w:p>
    <w:p>
      <w:pPr>
        <w:pStyle w:val="ListBullet"/>
      </w:pPr>
      <w:r>
        <w:rPr>
          <w:rFonts w:ascii="Arial" w:hAnsi="Arial" w:eastAsia="Arial"/>
          <w:sz w:val="21"/>
        </w:rPr>
        <w:t>Если сумма кредита выше расчётной потребности, уменьшите заявку — лишний долг создаёт лишние проценты.</w:t>
      </w:r>
    </w:p>
    <w:p>
      <w:pPr>
        <w:pStyle w:val="Heading1"/>
      </w:pPr>
      <w:r>
        <w:t>5. Как читать ставку и 18 месяцев</w:t>
      </w:r>
    </w:p>
    <w:p>
      <w:r>
        <w:t>На 11 сентября 2026 года ключевая ставка Банка России — 14% годовых. При максимальной надбавке 3 п.п. верхний ориентир — 17% годовых. Если банк предлагает надбавку ниже 3 п.п., ставка может быть ниже. Если ключевая ставка изменится и договор предусматривает плавающую формулу, стоимость также изменится.</w:t>
      </w:r>
    </w:p>
    <w:p>
      <w:r>
        <w:t>Фраза «ставка действует 1,5 года» означает период льготной ставки. Срок самого договора, график погашения тела и условия после окончания льготного периода нужно читать в банковском оффере.</w:t>
      </w:r>
    </w:p>
    <w:p>
      <w:pPr>
        <w:pStyle w:val="Heading1"/>
      </w:pPr>
      <w:r>
        <w:t>6. Сравнивать банки нужно по полной стоимости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1928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Что сравнить</w:t>
            </w:r>
          </w:p>
        </w:tc>
        <w:tc>
          <w:tcPr>
            <w:tcW w:type="dxa" w:w="3402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Почему важно</w:t>
            </w:r>
          </w:p>
        </w:tc>
        <w:tc>
          <w:tcPr>
            <w:tcW w:type="dxa" w:w="3969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Вопрос банку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Формула ставки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может зависеть от ключевой ставки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Как и когда пересчитывается ставка?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Комиссии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могут съесть часть выгоды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Есть ли разовая/ежемесячная комиссия?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Страхование/сервисы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иногда обязательны для тарифа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Что обязательно для получения заявленной ставки?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График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определяет кассовую нагрузку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Аннуитет, дифференцированный или иной?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Первый платёж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критичен для восстановления оборота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Когда первый процентный и основной платёж?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Зонтичное поручительство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может снизить дефицит залога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Применяется ли и на какую долю?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Досрочное погашение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важно при быстром восстановлении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Есть ли комиссия или уведомительный срок?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Старт программы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участие в перечне ≠ мгновенная выдача</w:t>
            </w:r>
          </w:p>
        </w:tc>
        <w:tc>
          <w:tcPr>
            <w:tcW w:type="dxa" w:w="39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Вы уже принимаете и выдаёте по этой программе?</w:t>
            </w:r>
          </w:p>
        </w:tc>
      </w:tr>
    </w:tbl>
    <w:p>
      <w:pPr>
        <w:pStyle w:val="Heading1"/>
      </w:pPr>
      <w:r>
        <w:t>7. Кредит и налоговая отсрочка — разные инструменты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170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Вопрос</w:t>
            </w:r>
          </w:p>
        </w:tc>
        <w:tc>
          <w:tcPr>
            <w:tcW w:type="dxa" w:w="368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Налоговая мера № 1074</w:t>
            </w:r>
          </w:p>
        </w:tc>
        <w:tc>
          <w:tcPr>
            <w:tcW w:type="dxa" w:w="368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Льготный кредит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Что даёт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перенос ряда налоговых/страховых платежей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новые деньги на оборотные цели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Стоимость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проценты по мере поддержки не начисляются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есть процентная ставка и банковские расходы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Критерий ущерба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специальные критерии, включая &gt;5% доходов либо отдельное правило для новых регистраций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на странице кредитной программы порог &gt;5% не указан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Кто принимает решение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механизм через перечни РВБ и налоговый контур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банк в рамках программы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Главный риск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будущая нагрузка после переноса</w:t>
            </w:r>
          </w:p>
        </w:tc>
        <w:tc>
          <w:tcPr>
            <w:tcW w:type="dxa" w:w="368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долг, проценты и ежемесячный график</w:t>
            </w:r>
          </w:p>
        </w:tc>
      </w:tr>
    </w:tbl>
    <w:p>
      <w:pPr>
        <w:pStyle w:val="Heading1"/>
      </w:pPr>
      <w:r>
        <w:t>8. Условия решения: когда подавать, пересчитать или отказаться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4592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Ситуация</w:t>
            </w:r>
          </w:p>
        </w:tc>
        <w:tc>
          <w:tcPr>
            <w:tcW w:type="dxa" w:w="4479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</w:t>
            </w:r>
          </w:p>
        </w:tc>
      </w:tr>
      <w:tr>
        <w:tc>
          <w:tcPr>
            <w:tcW w:type="dxa" w:w="459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Статус пострадавшего не подтверждён</w:t>
            </w:r>
          </w:p>
        </w:tc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не строить план ликвидности на предполагаемом кредите; сначала уточнить основание у банка/РВБ</w:t>
            </w:r>
          </w:p>
        </w:tc>
      </w:tr>
      <w:tr>
        <w:tc>
          <w:tcPr>
            <w:tcW w:type="dxa" w:w="459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Свободный денежный поток покрывает новый платёж менее чем примерно в 1,2 раза</w:t>
            </w:r>
          </w:p>
        </w:tc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пересчитать сумму/срок; это внутренний управленческий порог, не банковский норматив</w:t>
            </w:r>
          </w:p>
        </w:tc>
      </w:tr>
      <w:tr>
        <w:tc>
          <w:tcPr>
            <w:tcW w:type="dxa" w:w="459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Кредит заметно выше кассового разрыва</w:t>
            </w:r>
          </w:p>
        </w:tc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уменьшить заявку</w:t>
            </w:r>
          </w:p>
        </w:tc>
      </w:tr>
      <w:tr>
        <w:tc>
          <w:tcPr>
            <w:tcW w:type="dxa" w:w="459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Полная стоимость почти равна обычному кредиту</w:t>
            </w:r>
          </w:p>
        </w:tc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сравнить альтернативы и переговорить с несколькими банками</w:t>
            </w:r>
          </w:p>
        </w:tc>
      </w:tr>
      <w:tr>
        <w:tc>
          <w:tcPr>
            <w:tcW w:type="dxa" w:w="459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Деньги закрывают постоянный операционный убыток без плана восстановления</w:t>
            </w:r>
          </w:p>
        </w:tc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не брать кредит как замену реструктуризации бизнеса</w:t>
            </w:r>
          </w:p>
        </w:tc>
      </w:tr>
      <w:tr>
        <w:tc>
          <w:tcPr>
            <w:tcW w:type="dxa" w:w="459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Непонятно, что будет после 18 месяцев</w:t>
            </w:r>
          </w:p>
        </w:tc>
        <w:tc>
          <w:tcPr>
            <w:tcW w:type="dxa" w:w="447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не подписывать до письменного понимания ставки/графика после льготного периода</w:t>
            </w:r>
          </w:p>
        </w:tc>
      </w:tr>
    </w:tbl>
    <w:p>
      <w:pPr>
        <w:pStyle w:val="Heading1"/>
      </w:pPr>
      <w:r>
        <w:t>9. Следующий шаг</w:t>
      </w:r>
    </w:p>
    <w:p>
      <w:pPr>
        <w:pStyle w:val="ListNumber"/>
      </w:pPr>
      <w:r>
        <w:rPr>
          <w:rFonts w:ascii="Arial" w:hAnsi="Arial" w:eastAsia="Arial"/>
          <w:sz w:val="21"/>
        </w:rPr>
        <w:t>Заполнить XLSX-калькулятор и зафиксировать обоснованную сумму заявки.</w:t>
      </w:r>
    </w:p>
    <w:p>
      <w:pPr>
        <w:pStyle w:val="ListNumber"/>
      </w:pPr>
      <w:r>
        <w:rPr>
          <w:rFonts w:ascii="Arial" w:hAnsi="Arial" w:eastAsia="Arial"/>
          <w:sz w:val="21"/>
        </w:rPr>
        <w:t>Собрать папку готовности подтверждений и финансовых документов.</w:t>
      </w:r>
    </w:p>
    <w:p>
      <w:pPr>
        <w:pStyle w:val="ListNumber"/>
      </w:pPr>
      <w:r>
        <w:rPr>
          <w:rFonts w:ascii="Arial" w:hAnsi="Arial" w:eastAsia="Arial"/>
          <w:sz w:val="21"/>
        </w:rPr>
        <w:t>Выбрать 2–3 банка и отправить одинаковый запрос по параметрам программы.</w:t>
      </w:r>
    </w:p>
    <w:p>
      <w:pPr>
        <w:pStyle w:val="ListNumber"/>
      </w:pPr>
      <w:r>
        <w:rPr>
          <w:rFonts w:ascii="Arial" w:hAnsi="Arial" w:eastAsia="Arial"/>
          <w:sz w:val="21"/>
        </w:rPr>
        <w:t>Сравнить предложения в одной матрице.</w:t>
      </w:r>
    </w:p>
    <w:p>
      <w:pPr>
        <w:pStyle w:val="ListNumber"/>
        <w:spacing w:after="0"/>
      </w:pPr>
      <w:r>
        <w:rPr>
          <w:rFonts w:ascii="Arial" w:hAnsi="Arial" w:eastAsia="Arial"/>
          <w:sz w:val="21"/>
        </w:rPr>
        <w:t>Перед подписанием повторно проверить денежный поток в стресс-сценарии.</w:t>
      </w:r>
    </w:p>
    <w:p>
      <w:pPr>
        <w:pStyle w:val="Heading1"/>
        <w:spacing w:after="0"/>
      </w:pPr>
      <w:r>
        <w:t>Источники и дата проверки</w:t>
      </w:r>
    </w:p>
    <w:p>
      <w:hyperlink r:id="rId11">
        <w:r>
          <w:rPr>
            <w:color w:val="0563C1"/>
            <w:u w:val="single"/>
          </w:rPr>
          <w:t>Корпорация МСП — программа стимулирования кредитования для пострадавших селлеров</w:t>
        </w:r>
      </w:hyperlink>
    </w:p>
    <w:p>
      <w:hyperlink r:id="rId12">
        <w:r>
          <w:rPr>
            <w:color w:val="0563C1"/>
            <w:u w:val="single"/>
          </w:rPr>
          <w:t>Корпорация МСП — сообщение о запуске программы 11 сентября 2026 года</w:t>
        </w:r>
      </w:hyperlink>
    </w:p>
    <w:p>
      <w:hyperlink r:id="rId13">
        <w:r>
          <w:rPr>
            <w:color w:val="0563C1"/>
            <w:u w:val="single"/>
          </w:rPr>
          <w:t>Банк России — решение по ключевой ставке от 11 сентября 2026 года</w:t>
        </w:r>
      </w:hyperlink>
    </w:p>
    <w:p>
      <w:hyperlink r:id="rId14">
        <w:r>
          <w:rPr>
            <w:color w:val="0563C1"/>
            <w:u w:val="single"/>
          </w:rPr>
          <w:t>ФНС России — Единый реестр субъектов малого и среднего предпринимательства</w:t>
        </w:r>
      </w:hyperlink>
    </w:p>
    <w:p>
      <w:hyperlink r:id="rId15">
        <w:r>
          <w:rPr>
            <w:color w:val="0563C1"/>
            <w:u w:val="single"/>
          </w:rPr>
          <w:t>Бизнес под микроскопом — действующий материал по постановлению № 1074</w:t>
        </w:r>
      </w:hyperlink>
    </w:p>
    <w:p>
      <w:pPr>
        <w:pStyle w:val="SmallNote"/>
        <w:spacing w:after="0"/>
      </w:pPr>
      <w:r>
        <w:t>Дата фактчека: 14 сентября 2026 года.</w:t>
      </w:r>
    </w:p>
    <w:sectPr w:rsidR="00FC693F" w:rsidRPr="0006063C" w:rsidSect="00034616">
      <w:headerReference w:type="default" r:id="rId9"/>
      <w:footerReference w:type="default" r:id="rId10"/>
      <w:type w:val="continuous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66717C"/>
        <w:sz w:val="16"/>
      </w:rPr>
      <w:t xml:space="preserve">Фактчек: 14 сентября 2026 года  •  Стр. </w:t>
    </w: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color w:val="173A5E"/>
        <w:sz w:val="17"/>
      </w:rP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A5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45B8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A5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 w:eastAsia="Arial"/>
      <w:color w:val="66717C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orpmsp.ru/to-business/finansirovanie-lgotnye-programmy-kreditovaniya/psk_sellers/" TargetMode="External"/><Relationship Id="rId12" Type="http://schemas.openxmlformats.org/officeDocument/2006/relationships/hyperlink" Target="https://www.corpmsp.ru/about/press/news/novosti-korporatsii/postradavshim-ot-atak-na-obekty-gruppy-rvb-predprinimatelyam-stali-dostupny-lgotnye-kredity/" TargetMode="External"/><Relationship Id="rId13" Type="http://schemas.openxmlformats.org/officeDocument/2006/relationships/hyperlink" Target="https://cbr.ru/press/pr/?file=11092026_133000key.htm" TargetMode="External"/><Relationship Id="rId14" Type="http://schemas.openxmlformats.org/officeDocument/2006/relationships/hyperlink" Target="https://rmsp.nalog.ru/" TargetMode="External"/><Relationship Id="rId15" Type="http://schemas.openxmlformats.org/officeDocument/2006/relationships/hyperlink" Target="https://bizmicroscope.ru/russia-business/podderzhka-sellerov-wildberries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