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C99A42"/>
          <w:sz w:val="18"/>
        </w:rPr>
        <w:t>БИЗНЕС ПОД МИКРОСКОПОМ</w:t>
      </w:r>
    </w:p>
    <w:p>
      <w:pPr>
        <w:spacing w:after="180"/>
      </w:pPr>
      <w:r>
        <w:rPr>
          <w:rFonts w:ascii="Arial" w:hAnsi="Arial"/>
          <w:b/>
          <w:color w:val="172235"/>
          <w:sz w:val="17"/>
        </w:rPr>
        <w:t>ПРОФЕССИОНАЛЬНЫЙ РАБОЧИЙ КОМПЛЕКТ</w:t>
      </w:r>
    </w:p>
    <w:p>
      <w:pPr>
        <w:pStyle w:val="Title"/>
      </w:pPr>
      <w:r>
        <w:t>ПВЗ Ozon и Wildberries в 2026 году</w:t>
      </w:r>
    </w:p>
    <w:p>
      <w:pPr>
        <w:spacing w:after="200"/>
      </w:pPr>
      <w:r>
        <w:rPr>
          <w:i/>
          <w:color w:val="6B665F"/>
          <w:sz w:val="22"/>
        </w:rPr>
        <w:t>Профессиональное досье бизнес-модели для оценки локации, запуска и управления одной городской точкой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8050"/>
      </w:tblGrid>
      <w:tr>
        <w:tc>
          <w:tcPr>
            <w:tcW w:type="dxa" w:w="5100"/>
            <w:shd w:fill="C99A42"/>
            <w:tcBorders>
              <w:top w:val="single" w:sz="4" w:color="D9D0C2"/>
              <w:left w:val="single" w:sz="4" w:color="D9D0C2"/>
              <w:bottom w:val="single" w:sz="4" w:color="D9D0C2"/>
              <w:right w:val="single" w:sz="4" w:color="D9D0C2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ВАЖНО</w:t>
            </w:r>
          </w:p>
        </w:tc>
        <w:tc>
          <w:tcPr>
            <w:tcW w:type="dxa" w:w="5100"/>
            <w:shd w:fill="FFF9F0"/>
            <w:tcBorders>
              <w:top w:val="single" w:sz="4" w:color="D9D0C2"/>
              <w:left w:val="single" w:sz="4" w:color="D9D0C2"/>
              <w:bottom w:val="single" w:sz="4" w:color="D9D0C2"/>
              <w:right w:val="single" w:sz="4" w:color="D9D0C2"/>
            </w:tcBorders>
          </w:tcPr>
          <w:p>
            <w:r>
              <w:rPr>
                <w:color w:val="332E28"/>
                <w:sz w:val="18"/>
              </w:rPr>
              <w:t>Все суммы в документе — сценарные, если прямо не указано иное. Тариф, финансовую поддержку, требования и оферту нужно перепроверять в день заявки. Главная проверка — экономика без временной поддержки платформы.</w:t>
            </w:r>
          </w:p>
        </w:tc>
      </w:tr>
    </w:tbl>
    <w:p>
      <w:pPr>
        <w:spacing w:after="20"/>
      </w:pPr>
    </w:p>
    <w:p/>
    <w:p>
      <w:pPr>
        <w:pStyle w:val="Heading1"/>
      </w:pPr>
      <w:r>
        <w:t>Как работать с комплектом</w:t>
      </w:r>
    </w:p>
    <w:p>
      <w:r>
        <w:rPr/>
        <w:t>Этот документ отвечает на вопрос «стоит ли открывать ПВЗ и как это сделать без пропусков». Оно не заменяет финансовую модель: сначала прочитайте досье бизнес-модели, затем внесите фактические условия адреса в Excel и только после этого переходите к договору аренды.</w:t>
      </w:r>
    </w:p>
    <w:p>
      <w:pPr>
        <w:pStyle w:val="ListNumber"/>
        <w:spacing w:after="40"/>
      </w:pPr>
      <w:r>
        <w:t>Сначала определите платформу и 3–5 зон на официальной карте. Не начинайте с понравившегося помещения.</w:t>
      </w:r>
    </w:p>
    <w:p>
      <w:pPr>
        <w:pStyle w:val="ListNumber"/>
        <w:spacing w:after="40"/>
      </w:pPr>
      <w:r>
        <w:t>Заполните финансовую модель: тариф, поддержка, аренда, полная стоимость смен, ремонт, резерв и сценарный оборот.</w:t>
      </w:r>
    </w:p>
    <w:p>
      <w:pPr>
        <w:pStyle w:val="ListNumber"/>
        <w:spacing w:after="40"/>
      </w:pPr>
      <w:r>
        <w:t>Проведите Due Diligence локации по отдельному toolkit: три полевых выезда, конкуренты, разгрузка, видимость, договор аренды.</w:t>
      </w:r>
    </w:p>
    <w:p>
      <w:pPr>
        <w:pStyle w:val="ListNumber"/>
        <w:spacing w:after="40"/>
      </w:pPr>
      <w:r>
        <w:t>Сравните cash break-even и economic break-even. Второй должен учитывать стоимость вашего собственного времени.</w:t>
      </w:r>
    </w:p>
    <w:p>
      <w:pPr>
        <w:pStyle w:val="ListNumber"/>
        <w:spacing w:after="40"/>
      </w:pPr>
      <w:r>
        <w:t>Только после GO подтвердите локацию у платформы, подписывайте аренду, запускайте ремонт и найм.</w:t>
      </w:r>
    </w:p>
    <w:p>
      <w:pPr>
        <w:pStyle w:val="ListNumber"/>
        <w:spacing w:after="40"/>
      </w:pPr>
      <w:r>
        <w:t>После открытия еженедельно обновляйте модель фактом и принимайте решение по 30/60/90-дневным контрольным точкам.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2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Файл</w:t>
            </w:r>
          </w:p>
        </w:tc>
        <w:tc>
          <w:tcPr>
            <w:tcW w:type="dxa" w:w="1247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С чего начать</w:t>
            </w:r>
          </w:p>
        </w:tc>
        <w:tc>
          <w:tcPr>
            <w:tcW w:type="dxa" w:w="5386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Зачем нужен</w:t>
            </w:r>
          </w:p>
        </w:tc>
      </w:tr>
      <w:tr>
        <w:tc>
          <w:tcPr>
            <w:tcW w:type="dxa" w:w="340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dose-biznes-modeli-pvz-ozon-wildberries.docx</w:t>
            </w:r>
          </w:p>
        </w:tc>
        <w:tc>
          <w:tcPr>
            <w:tcW w:type="dxa" w:w="1247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1</w:t>
            </w:r>
          </w:p>
        </w:tc>
        <w:tc>
          <w:tcPr>
            <w:tcW w:type="dxa" w:w="5386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Логика бизнеса, риски, запуск, управление и критерии решения.</w:t>
            </w:r>
          </w:p>
        </w:tc>
      </w:tr>
      <w:tr>
        <w:tc>
          <w:tcPr>
            <w:tcW w:type="dxa" w:w="340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finansovaya-model-pvz-ozon-wildberries.xlsx</w:t>
            </w:r>
          </w:p>
        </w:tc>
        <w:tc>
          <w:tcPr>
            <w:tcW w:type="dxa" w:w="1247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2</w:t>
            </w:r>
          </w:p>
        </w:tc>
        <w:tc>
          <w:tcPr>
            <w:tcW w:type="dxa" w:w="5386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Тарифы, CAPEX, P&amp;L, cash-flow, break-even, sensitivity, FundingCase и Dashboard.</w:t>
            </w:r>
          </w:p>
        </w:tc>
      </w:tr>
      <w:tr>
        <w:tc>
          <w:tcPr>
            <w:tcW w:type="dxa" w:w="340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pvz-due-diligence-launch-toolkit.docx</w:t>
            </w:r>
          </w:p>
        </w:tc>
        <w:tc>
          <w:tcPr>
            <w:tcW w:type="dxa" w:w="1247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3</w:t>
            </w:r>
          </w:p>
        </w:tc>
        <w:tc>
          <w:tcPr>
            <w:tcW w:type="dxa" w:w="5386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Проверка адреса, аренды, команды, готовности и первых 90 дней.</w:t>
            </w:r>
          </w:p>
        </w:tc>
      </w:tr>
      <w:tr>
        <w:tc>
          <w:tcPr>
            <w:tcW w:type="dxa" w:w="340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gotovyy-scenariy-zapuska-pvz.docx</w:t>
            </w:r>
          </w:p>
        </w:tc>
        <w:tc>
          <w:tcPr>
            <w:tcW w:type="dxa" w:w="1247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4</w:t>
            </w:r>
          </w:p>
        </w:tc>
        <w:tc>
          <w:tcPr>
            <w:tcW w:type="dxa" w:w="5386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Синтетический пример конкретной городской точки: помещение, люди, оборудование, действия и деньги.</w:t>
            </w:r>
          </w:p>
        </w:tc>
      </w:tr>
    </w:tbl>
    <w:p>
      <w:pPr>
        <w:spacing w:after="20"/>
      </w:pPr>
    </w:p>
    <w:p>
      <w:pPr>
        <w:pStyle w:val="Heading1"/>
      </w:pPr>
      <w:r>
        <w:rPr/>
        <w:t>1. Резюме бизнес-модели</w:t>
      </w:r>
    </w:p>
    <w:p>
      <w:r>
        <w:t>ПВЗ — партнёрский сервисный бизнес, а не классическая франшиза. Владелец не покупает товар и не зарабатывает на торговой наценке: его доход формируется из вознаграждения за обработанный и выданный поток заказов, дополнительных операций и, если адрес подходит, временной поддержки платформы.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8050"/>
      </w:tblGrid>
      <w:tr>
        <w:tc>
          <w:tcPr>
            <w:tcW w:type="dxa" w:w="5100"/>
            <w:shd w:fill="1F6B3A"/>
            <w:tcBorders>
              <w:top w:val="single" w:sz="4" w:color="D9D0C2"/>
              <w:left w:val="single" w:sz="4" w:color="D9D0C2"/>
              <w:bottom w:val="single" w:sz="4" w:color="D9D0C2"/>
              <w:right w:val="single" w:sz="4" w:color="D9D0C2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КЛЮЧЕВОЕ</w:t>
            </w:r>
          </w:p>
        </w:tc>
        <w:tc>
          <w:tcPr>
            <w:tcW w:type="dxa" w:w="5100"/>
            <w:shd w:fill="FFF9F0"/>
            <w:tcBorders>
              <w:top w:val="single" w:sz="4" w:color="D9D0C2"/>
              <w:left w:val="single" w:sz="4" w:color="D9D0C2"/>
              <w:bottom w:val="single" w:sz="4" w:color="D9D0C2"/>
              <w:right w:val="single" w:sz="4" w:color="D9D0C2"/>
            </w:tcBorders>
          </w:tcPr>
          <w:p>
            <w:r>
              <w:rPr>
                <w:color w:val="332E28"/>
                <w:sz w:val="18"/>
              </w:rPr>
              <w:t>Сильная точка — не та, которая красиво выглядит в рекламном калькуляторе, а та, которая после окончания поддержки способна оплачивать аренду, полный график персонала, налоги, потери и управление владельца.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969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Параметр</w:t>
            </w:r>
          </w:p>
        </w:tc>
        <w:tc>
          <w:tcPr>
            <w:tcW w:type="dxa" w:w="5953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Сценарий городской точки</w:t>
            </w:r>
          </w:p>
        </w:tc>
      </w:tr>
      <w:tr>
        <w:tc>
          <w:tcPr>
            <w:tcW w:type="dxa" w:w="3969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Площадь</w:t>
            </w:r>
          </w:p>
        </w:tc>
        <w:tc>
          <w:tcPr>
            <w:tcW w:type="dxa" w:w="5953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35 м²</w:t>
            </w:r>
          </w:p>
        </w:tc>
      </w:tr>
      <w:tr>
        <w:tc>
          <w:tcPr>
            <w:tcW w:type="dxa" w:w="3969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Старт до рабочего резерва</w:t>
            </w:r>
          </w:p>
        </w:tc>
        <w:tc>
          <w:tcPr>
            <w:tcW w:type="dxa" w:w="5953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примерно 660–725 тыс. ₽</w:t>
            </w:r>
          </w:p>
        </w:tc>
      </w:tr>
      <w:tr>
        <w:tc>
          <w:tcPr>
            <w:tcW w:type="dxa" w:w="3969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Полная потребность с резервом</w:t>
            </w:r>
          </w:p>
        </w:tc>
        <w:tc>
          <w:tcPr>
            <w:tcW w:type="dxa" w:w="5953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примерно 1,46–1,53 млн ₽</w:t>
            </w:r>
          </w:p>
        </w:tc>
      </w:tr>
      <w:tr>
        <w:tc>
          <w:tcPr>
            <w:tcW w:type="dxa" w:w="3969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Cash break-even без поддержки</w:t>
            </w:r>
          </w:p>
        </w:tc>
        <w:tc>
          <w:tcPr>
            <w:tcW w:type="dxa" w:w="5953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около 5,8–6,2 млн ₽ оборота/мес. в сценарии</w:t>
            </w:r>
          </w:p>
        </w:tc>
      </w:tr>
      <w:tr>
        <w:tc>
          <w:tcPr>
            <w:tcW w:type="dxa" w:w="3969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Economic break-even</w:t>
            </w:r>
          </w:p>
        </w:tc>
        <w:tc>
          <w:tcPr>
            <w:tcW w:type="dxa" w:w="5953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около 6,5–6,9 млн ₽ оборота/мес.</w:t>
            </w:r>
          </w:p>
        </w:tc>
      </w:tr>
      <w:tr>
        <w:tc>
          <w:tcPr>
            <w:tcW w:type="dxa" w:w="3969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Базовый оборот к М6</w:t>
            </w:r>
          </w:p>
        </w:tc>
        <w:tc>
          <w:tcPr>
            <w:tcW w:type="dxa" w:w="5953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7,5 млн ₽/мес. — сценарий, не прогноз площадки</w:t>
            </w:r>
          </w:p>
        </w:tc>
      </w:tr>
    </w:tbl>
    <w:p>
      <w:pPr>
        <w:spacing w:after="20"/>
      </w:pPr>
    </w:p>
    <w:p>
      <w:pPr>
        <w:pStyle w:val="Heading1"/>
      </w:pPr>
      <w:r>
        <w:t>2. Что это за бизнес и за что платит платформа</w:t>
      </w:r>
    </w:p>
    <w:p>
      <w:r>
        <w:t>Оборот ПВЗ — стоимость товаров, прошедших через выдачу. Это не выручка предпринимателя. Выручка владельца ПВЗ — вознаграждение платформы и другие выплаты по договору. Смешение этих двух цифр — главная причина завышенных ожиданий.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494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Деньги</w:t>
            </w:r>
          </w:p>
        </w:tc>
        <w:tc>
          <w:tcPr>
            <w:tcW w:type="dxa" w:w="3969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Что это</w:t>
            </w:r>
          </w:p>
        </w:tc>
        <w:tc>
          <w:tcPr>
            <w:tcW w:type="dxa" w:w="3458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Типичная ошибка</w:t>
            </w:r>
          </w:p>
        </w:tc>
      </w:tr>
      <w:tr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Оборот заказов</w:t>
            </w:r>
          </w:p>
        </w:tc>
        <w:tc>
          <w:tcPr>
            <w:tcW w:type="dxa" w:w="3969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Стоимость выданных заказов</w:t>
            </w:r>
          </w:p>
        </w:tc>
        <w:tc>
          <w:tcPr>
            <w:tcW w:type="dxa" w:w="3458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Считать его своей выручкой.</w:t>
            </w:r>
          </w:p>
        </w:tc>
      </w:tr>
      <w:tr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Вознаграждение</w:t>
            </w:r>
          </w:p>
        </w:tc>
        <w:tc>
          <w:tcPr>
            <w:tcW w:type="dxa" w:w="3969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Процент/формула по тарифу платформы</w:t>
            </w:r>
          </w:p>
        </w:tc>
        <w:tc>
          <w:tcPr>
            <w:tcW w:type="dxa" w:w="3458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Брать рекламный максимум как постоянную ставку.</w:t>
            </w:r>
          </w:p>
        </w:tc>
      </w:tr>
      <w:tr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Поддержка</w:t>
            </w:r>
          </w:p>
        </w:tc>
        <w:tc>
          <w:tcPr>
            <w:tcW w:type="dxa" w:w="3969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Временная зональная выплата</w:t>
            </w:r>
          </w:p>
        </w:tc>
        <w:tc>
          <w:tcPr>
            <w:tcW w:type="dxa" w:w="3458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Строить окупаемость так, будто она вечная.</w:t>
            </w:r>
          </w:p>
        </w:tc>
      </w:tr>
      <w:tr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Допсервисы</w:t>
            </w:r>
          </w:p>
        </w:tc>
        <w:tc>
          <w:tcPr>
            <w:tcW w:type="dxa" w:w="3969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Приём поставок, возвраты и другие операции</w:t>
            </w:r>
          </w:p>
        </w:tc>
        <w:tc>
          <w:tcPr>
            <w:tcW w:type="dxa" w:w="3458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Считать полный объём с первого месяца.</w:t>
            </w:r>
          </w:p>
        </w:tc>
      </w:tr>
      <w:tr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Cash profit</w:t>
            </w:r>
          </w:p>
        </w:tc>
        <w:tc>
          <w:tcPr>
            <w:tcW w:type="dxa" w:w="3969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Доход минус реальные денежные расходы и налоги</w:t>
            </w:r>
          </w:p>
        </w:tc>
        <w:tc>
          <w:tcPr>
            <w:tcW w:type="dxa" w:w="3458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Не учитывать подмены, потери и резерв.</w:t>
            </w:r>
          </w:p>
        </w:tc>
      </w:tr>
      <w:tr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Economic profit</w:t>
            </w:r>
          </w:p>
        </w:tc>
        <w:tc>
          <w:tcPr>
            <w:tcW w:type="dxa" w:w="3969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Cash profit минус стоимость труда владельца</w:t>
            </w:r>
          </w:p>
        </w:tc>
        <w:tc>
          <w:tcPr>
            <w:tcW w:type="dxa" w:w="3458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Считать собственные смены бесплатными.</w:t>
            </w:r>
          </w:p>
        </w:tc>
      </w:tr>
    </w:tbl>
    <w:p>
      <w:pPr>
        <w:spacing w:after="20"/>
      </w:pPr>
    </w:p>
    <w:p>
      <w:pPr>
        <w:pStyle w:val="Heading1"/>
      </w:pPr>
      <w:r>
        <w:t>3. Что изменилось в 2026 году</w:t>
      </w:r>
    </w:p>
    <w:p>
      <w:r>
        <w:t>Старая версия расчётов уже недостаточна. В 2026 году у обеих площадок изменялись тарифы, поддержка и оферты, поэтому материал пересобран заново.</w:t>
      </w:r>
    </w:p>
    <w:p>
      <w:pPr>
        <w:pStyle w:val="ListBullet"/>
        <w:spacing w:after="40"/>
      </w:pPr>
      <w:r>
        <w:t>Ozon в июле 2026 расширил поддержку для новых ПВЗ формата «Максимум бренда»: срок — до 12 месяцев, максимальная сумма — до 5,28 млн ₽ в подходящих локациях. Первые два месяца поддержка начисляется при соблюдении правил, далее нужен минимальный оборот конкретной зоны.</w:t>
      </w:r>
    </w:p>
    <w:p>
      <w:pPr>
        <w:pStyle w:val="ListBullet"/>
        <w:spacing w:after="40"/>
      </w:pPr>
      <w:r>
        <w:t>У Ozon с 1 июня изменилась механика расчёта вознаграждения: при номинальном тарифе 5% клиенту предоставляется скидка за получение в ПВЗ, а вознаграждение считается от цены после этой скидки. Поэтому эффективная доля от исходной цены ниже номинального процента.</w:t>
      </w:r>
    </w:p>
    <w:p>
      <w:pPr>
        <w:pStyle w:val="ListBullet"/>
        <w:spacing w:after="40"/>
      </w:pPr>
      <w:r>
        <w:t>В отдельных локациях Ozon в 2026 году сообщал тарифы до 7%; временная акция 10% для новых точек имеет отдельные сроки и не включена в устойчивый Base-сценарий.</w:t>
      </w:r>
    </w:p>
    <w:p>
      <w:pPr>
        <w:pStyle w:val="ListBullet"/>
        <w:spacing w:after="40"/>
      </w:pPr>
      <w:r>
        <w:t>Wildberries показывает тариф, прогнозируемый товарооборот и меры поддержки на тепловой карте; официальный учебный пример использует 5%, но реальный процент зависит от локации и площади.</w:t>
      </w:r>
    </w:p>
    <w:p>
      <w:pPr>
        <w:pStyle w:val="ListBullet"/>
        <w:spacing w:after="40"/>
      </w:pPr>
      <w:r>
        <w:t>Оферта Wildberries для России обновлена 18 августа 2026 года до версии №154 — значит, старые распечатки нельзя использовать как основание для решения.</w:t>
      </w:r>
    </w:p>
    <w:p>
      <w:pPr>
        <w:pStyle w:val="Heading1"/>
      </w:pPr>
      <w:r>
        <w:t>4. Выбор между Ozon и Wildberries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268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Критерий</w:t>
            </w:r>
          </w:p>
        </w:tc>
        <w:tc>
          <w:tcPr>
            <w:tcW w:type="dxa" w:w="2494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Ozon</w:t>
            </w:r>
          </w:p>
        </w:tc>
        <w:tc>
          <w:tcPr>
            <w:tcW w:type="dxa" w:w="2494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Wildberries</w:t>
            </w:r>
          </w:p>
        </w:tc>
        <w:tc>
          <w:tcPr>
            <w:tcW w:type="dxa" w:w="2835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Решение</w:t>
            </w:r>
          </w:p>
        </w:tc>
      </w:tr>
      <w:tr>
        <w:tc>
          <w:tcPr>
            <w:tcW w:type="dxa" w:w="2268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Городская стандартная точка</w:t>
            </w:r>
          </w:p>
        </w:tc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«Максимум бренда», от 20 м²</w:t>
            </w:r>
          </w:p>
        </w:tc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Стандарт, от 30 м² в зависимости от зоны</w:t>
            </w:r>
          </w:p>
        </w:tc>
        <w:tc>
          <w:tcPr>
            <w:tcW w:type="dxa" w:w="2835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Смотреть конкретную карту.</w:t>
            </w:r>
          </w:p>
        </w:tc>
      </w:tr>
      <w:tr>
        <w:tc>
          <w:tcPr>
            <w:tcW w:type="dxa" w:w="2268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Тариф</w:t>
            </w:r>
          </w:p>
        </w:tc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Базовая логика 5%; отдельные зоны выше; есть особая механика с 1 июня</w:t>
            </w:r>
          </w:p>
        </w:tc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Процент определяется картой; есть повышенные зоны</w:t>
            </w:r>
          </w:p>
        </w:tc>
        <w:tc>
          <w:tcPr>
            <w:tcW w:type="dxa" w:w="2835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Не сравнивать бренды без адреса.</w:t>
            </w:r>
          </w:p>
        </w:tc>
      </w:tr>
      <w:tr>
        <w:tc>
          <w:tcPr>
            <w:tcW w:type="dxa" w:w="2268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Поддержка</w:t>
            </w:r>
          </w:p>
        </w:tc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До 5,28 млн ₽ и до 12 месяцев в отдельных локациях</w:t>
            </w:r>
          </w:p>
        </w:tc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Гарантированный доход/выплаты в отдельных зонах</w:t>
            </w:r>
          </w:p>
        </w:tc>
        <w:tc>
          <w:tcPr>
            <w:tcW w:type="dxa" w:w="2835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Base считать без неё.</w:t>
            </w:r>
          </w:p>
        </w:tc>
      </w:tr>
      <w:tr>
        <w:tc>
          <w:tcPr>
            <w:tcW w:type="dxa" w:w="2268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Обеспечительный платёж</w:t>
            </w:r>
          </w:p>
        </w:tc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Проверить текущий договор/заявку</w:t>
            </w:r>
          </w:p>
        </w:tc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50 000 ₽ для стандартного формата, возврат при открытии в срок</w:t>
            </w:r>
          </w:p>
        </w:tc>
        <w:tc>
          <w:tcPr>
            <w:tcW w:type="dxa" w:w="2835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Заложить в working capital.</w:t>
            </w:r>
          </w:p>
        </w:tc>
      </w:tr>
      <w:tr>
        <w:tc>
          <w:tcPr>
            <w:tcW w:type="dxa" w:w="2268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Сильная сторона</w:t>
            </w:r>
          </w:p>
        </w:tc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Большая партнёрская сеть, поддержка, понятная логика тарифа</w:t>
            </w:r>
          </w:p>
        </w:tc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Очень развитая сеть, карта с калькулятором и разные форматы</w:t>
            </w:r>
          </w:p>
        </w:tc>
        <w:tc>
          <w:tcPr>
            <w:tcW w:type="dxa" w:w="2835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Выигрывает адрес, а не логотип.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8050"/>
      </w:tblGrid>
      <w:tr>
        <w:tc>
          <w:tcPr>
            <w:tcW w:type="dxa" w:w="5100"/>
            <w:shd w:fill="C99A42"/>
            <w:tcBorders>
              <w:top w:val="single" w:sz="4" w:color="D9D0C2"/>
              <w:left w:val="single" w:sz="4" w:color="D9D0C2"/>
              <w:bottom w:val="single" w:sz="4" w:color="D9D0C2"/>
              <w:right w:val="single" w:sz="4" w:color="D9D0C2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ПРАВИЛО</w:t>
            </w:r>
          </w:p>
        </w:tc>
        <w:tc>
          <w:tcPr>
            <w:tcW w:type="dxa" w:w="5100"/>
            <w:shd w:fill="FFF9F0"/>
            <w:tcBorders>
              <w:top w:val="single" w:sz="4" w:color="D9D0C2"/>
              <w:left w:val="single" w:sz="4" w:color="D9D0C2"/>
              <w:bottom w:val="single" w:sz="4" w:color="D9D0C2"/>
              <w:right w:val="single" w:sz="4" w:color="D9D0C2"/>
            </w:tcBorders>
          </w:tcPr>
          <w:p>
            <w:r>
              <w:rPr>
                <w:color w:val="332E28"/>
                <w:sz w:val="18"/>
              </w:rPr>
              <w:t>Не открывайте «сначала Ozon» или «сначала WB» по привычке. Откройте обе карты, соберите условия 3–5 адресов и сравните экономику по одному и тому же шаблону.</w:t>
            </w:r>
          </w:p>
        </w:tc>
      </w:tr>
    </w:tbl>
    <w:p>
      <w:pPr>
        <w:spacing w:after="20"/>
      </w:pPr>
    </w:p>
    <w:p>
      <w:pPr>
        <w:pStyle w:val="Heading1"/>
      </w:pPr>
      <w:r>
        <w:t>5. Целевая локация</w:t>
      </w:r>
    </w:p>
    <w:p>
      <w:pPr>
        <w:pStyle w:val="ListBullet"/>
        <w:spacing w:after="40"/>
      </w:pPr>
      <w:r>
        <w:t>Жилой массив с реальным пешим ядром, а не просто высокой плотностью на карте.</w:t>
      </w:r>
    </w:p>
    <w:p>
      <w:pPr>
        <w:pStyle w:val="ListBullet"/>
        <w:spacing w:after="40"/>
      </w:pPr>
      <w:r>
        <w:t>Вход на первом этаже, заметный с основных маршрутов, без необходимости искать подъезд во дворе.</w:t>
      </w:r>
    </w:p>
    <w:p>
      <w:pPr>
        <w:pStyle w:val="ListBullet"/>
        <w:spacing w:after="40"/>
      </w:pPr>
      <w:r>
        <w:t>Разгрузка курьера без регулярной блокировки двора, лестниц и конфликтов с соседями.</w:t>
      </w:r>
    </w:p>
    <w:p>
      <w:pPr>
        <w:pStyle w:val="ListBullet"/>
        <w:spacing w:after="40"/>
      </w:pPr>
      <w:r>
        <w:t>Конкуренты проверены не только на карте: важно посетить их в часы пик и увидеть фактическую загрузку.</w:t>
      </w:r>
    </w:p>
    <w:p>
      <w:pPr>
        <w:pStyle w:val="ListBullet"/>
        <w:spacing w:after="40"/>
      </w:pPr>
      <w:r>
        <w:t>Аренда выдерживает стресс-сценарий без поддержки. Если нет — адрес отклоняется.</w:t>
      </w:r>
    </w:p>
    <w:p>
      <w:pPr>
        <w:pStyle w:val="ListBullet"/>
        <w:spacing w:after="40"/>
      </w:pPr>
      <w:r>
        <w:t>Есть кадровый рынок для полного графика. «Я сам постою первые полгода» не заменяет расчёт ФОТ.</w:t>
      </w:r>
    </w:p>
    <w:p>
      <w:r>
        <w:t>В toolkit используется 100-балльный скоринг. 85+ — можно переходить к договору после подтверждения платформы; 70–84 — повторная проверка; ниже 70 — NO-GO.</w:t>
      </w:r>
    </w:p>
    <w:p>
      <w:pPr>
        <w:pStyle w:val="Heading1"/>
      </w:pPr>
      <w:r>
        <w:t>6. Помещение и договор аренды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685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До подписи</w:t>
            </w:r>
          </w:p>
        </w:tc>
        <w:tc>
          <w:tcPr>
            <w:tcW w:type="dxa" w:w="6236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Почему это важно</w:t>
            </w:r>
          </w:p>
        </w:tc>
      </w:tr>
      <w:tr>
        <w:tc>
          <w:tcPr>
            <w:tcW w:type="dxa" w:w="3685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Письменное одобрение платформы/заявки</w:t>
            </w:r>
          </w:p>
        </w:tc>
        <w:tc>
          <w:tcPr>
            <w:tcW w:type="dxa" w:w="6236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Иначе ремонт и депозит могут остаться на владельце.</w:t>
            </w:r>
          </w:p>
        </w:tc>
      </w:tr>
      <w:tr>
        <w:tc>
          <w:tcPr>
            <w:tcW w:type="dxa" w:w="3685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Арендные каникулы</w:t>
            </w:r>
          </w:p>
        </w:tc>
        <w:tc>
          <w:tcPr>
            <w:tcW w:type="dxa" w:w="6236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Снижают cash burn до открытия.</w:t>
            </w:r>
          </w:p>
        </w:tc>
      </w:tr>
      <w:tr>
        <w:tc>
          <w:tcPr>
            <w:tcW w:type="dxa" w:w="3685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Полная ставка с эксплуатацией</w:t>
            </w:r>
          </w:p>
        </w:tc>
        <w:tc>
          <w:tcPr>
            <w:tcW w:type="dxa" w:w="6236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Скрытые платежи ломают break-even.</w:t>
            </w:r>
          </w:p>
        </w:tc>
      </w:tr>
      <w:tr>
        <w:tc>
          <w:tcPr>
            <w:tcW w:type="dxa" w:w="3685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Индексация и потолок роста</w:t>
            </w:r>
          </w:p>
        </w:tc>
        <w:tc>
          <w:tcPr>
            <w:tcW w:type="dxa" w:w="6236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Проверяется стресс-тестом.</w:t>
            </w:r>
          </w:p>
        </w:tc>
      </w:tr>
      <w:tr>
        <w:tc>
          <w:tcPr>
            <w:tcW w:type="dxa" w:w="3685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Право вывески/камер/замков</w:t>
            </w:r>
          </w:p>
        </w:tc>
        <w:tc>
          <w:tcPr>
            <w:tcW w:type="dxa" w:w="6236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Нужно для брендбука и безопасности.</w:t>
            </w:r>
          </w:p>
        </w:tc>
      </w:tr>
      <w:tr>
        <w:tc>
          <w:tcPr>
            <w:tcW w:type="dxa" w:w="3685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Досрочный выход</w:t>
            </w:r>
          </w:p>
        </w:tc>
        <w:tc>
          <w:tcPr>
            <w:tcW w:type="dxa" w:w="6236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Критичен, если точка не достигает KPI.</w:t>
            </w:r>
          </w:p>
        </w:tc>
      </w:tr>
      <w:tr>
        <w:tc>
          <w:tcPr>
            <w:tcW w:type="dxa" w:w="3685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Доступ курьеров и разгрузка</w:t>
            </w:r>
          </w:p>
        </w:tc>
        <w:tc>
          <w:tcPr>
            <w:tcW w:type="dxa" w:w="6236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Без этого ежедневная операция становится конфликтом.</w:t>
            </w:r>
          </w:p>
        </w:tc>
      </w:tr>
      <w:tr>
        <w:tc>
          <w:tcPr>
            <w:tcW w:type="dxa" w:w="3685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Приложенный план помещения</w:t>
            </w:r>
          </w:p>
        </w:tc>
        <w:tc>
          <w:tcPr>
            <w:tcW w:type="dxa" w:w="6236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Исключает спор о фактической площади и зонах.</w:t>
            </w:r>
          </w:p>
        </w:tc>
      </w:tr>
    </w:tbl>
    <w:p>
      <w:pPr>
        <w:spacing w:after="20"/>
      </w:pPr>
    </w:p>
    <w:p>
      <w:pPr>
        <w:pStyle w:val="Heading1"/>
      </w:pPr>
      <w:r>
        <w:t>7. Оборудование и стартовая комплектация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835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Блок</w:t>
            </w:r>
          </w:p>
        </w:tc>
        <w:tc>
          <w:tcPr>
            <w:tcW w:type="dxa" w:w="4762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Что заложено в сценарии</w:t>
            </w:r>
          </w:p>
        </w:tc>
        <w:tc>
          <w:tcPr>
            <w:tcW w:type="dxa" w:w="2381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Сумма, ₽</w:t>
            </w:r>
          </w:p>
        </w:tc>
      </w:tr>
      <w:tr>
        <w:tc>
          <w:tcPr>
            <w:tcW w:type="dxa" w:w="2835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Ремонт/отделка</w:t>
            </w:r>
          </w:p>
        </w:tc>
        <w:tc>
          <w:tcPr>
            <w:tcW w:type="dxa" w:w="476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По фактическому состоянию и брендбуку</w:t>
            </w:r>
          </w:p>
        </w:tc>
        <w:tc>
          <w:tcPr>
            <w:tcW w:type="dxa" w:w="2381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230–260 тыс.</w:t>
            </w:r>
          </w:p>
        </w:tc>
      </w:tr>
      <w:tr>
        <w:tc>
          <w:tcPr>
            <w:tcW w:type="dxa" w:w="2835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Мебель/хранение/примерочная</w:t>
            </w:r>
          </w:p>
        </w:tc>
        <w:tc>
          <w:tcPr>
            <w:tcW w:type="dxa" w:w="476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Стойка, стеллажи, зона клиента</w:t>
            </w:r>
          </w:p>
        </w:tc>
        <w:tc>
          <w:tcPr>
            <w:tcW w:type="dxa" w:w="2381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95–110 тыс.</w:t>
            </w:r>
          </w:p>
        </w:tc>
      </w:tr>
      <w:tr>
        <w:tc>
          <w:tcPr>
            <w:tcW w:type="dxa" w:w="2835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Техника</w:t>
            </w:r>
          </w:p>
        </w:tc>
        <w:tc>
          <w:tcPr>
            <w:tcW w:type="dxa" w:w="476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Ноутбук/ПК, сканер, принтер</w:t>
            </w:r>
          </w:p>
        </w:tc>
        <w:tc>
          <w:tcPr>
            <w:tcW w:type="dxa" w:w="2381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75 тыс.</w:t>
            </w:r>
          </w:p>
        </w:tc>
      </w:tr>
      <w:tr>
        <w:tc>
          <w:tcPr>
            <w:tcW w:type="dxa" w:w="2835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Безопасность и сеть</w:t>
            </w:r>
          </w:p>
        </w:tc>
        <w:tc>
          <w:tcPr>
            <w:tcW w:type="dxa" w:w="476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Камеры, интернет, доступ</w:t>
            </w:r>
          </w:p>
        </w:tc>
        <w:tc>
          <w:tcPr>
            <w:tcW w:type="dxa" w:w="2381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65 тыс.</w:t>
            </w:r>
          </w:p>
        </w:tc>
      </w:tr>
      <w:tr>
        <w:tc>
          <w:tcPr>
            <w:tcW w:type="dxa" w:w="2835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Первая аренда + депозит</w:t>
            </w:r>
          </w:p>
        </w:tc>
        <w:tc>
          <w:tcPr>
            <w:tcW w:type="dxa" w:w="476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В сценарии по 65 тыс.</w:t>
            </w:r>
          </w:p>
        </w:tc>
        <w:tc>
          <w:tcPr>
            <w:tcW w:type="dxa" w:w="2381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130 тыс.</w:t>
            </w:r>
          </w:p>
        </w:tc>
      </w:tr>
      <w:tr>
        <w:tc>
          <w:tcPr>
            <w:tcW w:type="dxa" w:w="2835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Платёж платформе</w:t>
            </w:r>
          </w:p>
        </w:tc>
        <w:tc>
          <w:tcPr>
            <w:tcW w:type="dxa" w:w="476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Проверяется по оферте/формату</w:t>
            </w:r>
          </w:p>
        </w:tc>
        <w:tc>
          <w:tcPr>
            <w:tcW w:type="dxa" w:w="2381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редактируемо</w:t>
            </w:r>
          </w:p>
        </w:tc>
      </w:tr>
      <w:tr>
        <w:tc>
          <w:tcPr>
            <w:tcW w:type="dxa" w:w="2835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Мелкие предзапусковые расходы</w:t>
            </w:r>
          </w:p>
        </w:tc>
        <w:tc>
          <w:tcPr>
            <w:tcW w:type="dxa" w:w="476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Регистрация, расходники, навигация</w:t>
            </w:r>
          </w:p>
        </w:tc>
        <w:tc>
          <w:tcPr>
            <w:tcW w:type="dxa" w:w="2381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35 тыс.</w:t>
            </w:r>
          </w:p>
        </w:tc>
      </w:tr>
    </w:tbl>
    <w:p>
      <w:pPr>
        <w:spacing w:after="20"/>
      </w:pPr>
    </w:p>
    <w:p>
      <w:r>
        <w:t>Смета не является прайс-листом рынка. В Excel каждая статья редактируется, а резерв считается отдельно. Не расходуйте резерв на декоративный ремонт.</w:t>
      </w:r>
    </w:p>
    <w:p>
      <w:pPr>
        <w:pStyle w:val="Heading1"/>
      </w:pPr>
      <w:r>
        <w:t>8. Команда и график работы</w:t>
      </w:r>
    </w:p>
    <w:p>
      <w:r>
        <w:t>Базовый сценарий предусматривает двух менеджеров и отдельный подменный фонд. Это дороже, чем «один сотрудник + владелец всегда подстрахует», но только такая модель показывает реальную стоимость полного графика.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551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Роль</w:t>
            </w:r>
          </w:p>
        </w:tc>
        <w:tc>
          <w:tcPr>
            <w:tcW w:type="dxa" w:w="4535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Функции</w:t>
            </w:r>
          </w:p>
        </w:tc>
        <w:tc>
          <w:tcPr>
            <w:tcW w:type="dxa" w:w="3118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Сценарная all-in стоимость</w:t>
            </w:r>
          </w:p>
        </w:tc>
      </w:tr>
      <w:tr>
        <w:tc>
          <w:tcPr>
            <w:tcW w:type="dxa" w:w="2551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Менеджер A</w:t>
            </w:r>
          </w:p>
        </w:tc>
        <w:tc>
          <w:tcPr>
            <w:tcW w:type="dxa" w:w="4535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приёмка, выдача, возвраты, порядок</w:t>
            </w:r>
          </w:p>
        </w:tc>
        <w:tc>
          <w:tcPr>
            <w:tcW w:type="dxa" w:w="3118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70 тыс. ₽/мес.</w:t>
            </w:r>
          </w:p>
        </w:tc>
      </w:tr>
      <w:tr>
        <w:tc>
          <w:tcPr>
            <w:tcW w:type="dxa" w:w="2551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Менеджер B</w:t>
            </w:r>
          </w:p>
        </w:tc>
        <w:tc>
          <w:tcPr>
            <w:tcW w:type="dxa" w:w="4535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смены, закрытие, инциденты</w:t>
            </w:r>
          </w:p>
        </w:tc>
        <w:tc>
          <w:tcPr>
            <w:tcW w:type="dxa" w:w="3118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70 тыс. ₽/мес.</w:t>
            </w:r>
          </w:p>
        </w:tc>
      </w:tr>
      <w:tr>
        <w:tc>
          <w:tcPr>
            <w:tcW w:type="dxa" w:w="2551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Подменный фонд</w:t>
            </w:r>
          </w:p>
        </w:tc>
        <w:tc>
          <w:tcPr>
            <w:tcW w:type="dxa" w:w="4535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выходные, больничные, пики</w:t>
            </w:r>
          </w:p>
        </w:tc>
        <w:tc>
          <w:tcPr>
            <w:tcW w:type="dxa" w:w="3118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15 тыс. ₽/мес.</w:t>
            </w:r>
          </w:p>
        </w:tc>
      </w:tr>
      <w:tr>
        <w:tc>
          <w:tcPr>
            <w:tcW w:type="dxa" w:w="2551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Владелец/управляющий</w:t>
            </w:r>
          </w:p>
        </w:tc>
        <w:tc>
          <w:tcPr>
            <w:tcW w:type="dxa" w:w="4535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деньги, качество, найм, конфликты</w:t>
            </w:r>
          </w:p>
        </w:tc>
        <w:tc>
          <w:tcPr>
            <w:tcW w:type="dxa" w:w="3118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30 тыс. ₽/мес. экономической стоимости</w:t>
            </w:r>
          </w:p>
        </w:tc>
      </w:tr>
    </w:tbl>
    <w:p>
      <w:pPr>
        <w:spacing w:after="20"/>
      </w:pPr>
    </w:p>
    <w:p>
      <w:pPr>
        <w:pStyle w:val="Heading1"/>
      </w:pPr>
      <w:r>
        <w:t>9. Операционная модель после открытия</w:t>
      </w:r>
    </w:p>
    <w:p>
      <w:pPr>
        <w:pStyle w:val="ListNumber"/>
        <w:spacing w:after="40"/>
      </w:pPr>
      <w:r>
        <w:t>До открытия: оферта, брендбук, техника, камеры, доступы, обучение, регламент инцидентов.</w:t>
      </w:r>
    </w:p>
    <w:p>
      <w:pPr>
        <w:pStyle w:val="ListNumber"/>
        <w:spacing w:after="40"/>
      </w:pPr>
      <w:r>
        <w:t>Утро: приёмка, проверка систем, готовность зоны клиента и склада.</w:t>
      </w:r>
    </w:p>
    <w:p>
      <w:pPr>
        <w:pStyle w:val="ListNumber"/>
        <w:spacing w:after="40"/>
      </w:pPr>
      <w:r>
        <w:t>День: выдача, возвраты, контроль очереди, сохранность, фиксация спорных ситуаций.</w:t>
      </w:r>
    </w:p>
    <w:p>
      <w:pPr>
        <w:pStyle w:val="ListNumber"/>
        <w:spacing w:after="40"/>
      </w:pPr>
      <w:r>
        <w:t>Закрытие: сверка операций, остатки, инциденты, каскад задач на следующий день.</w:t>
      </w:r>
    </w:p>
    <w:p>
      <w:pPr>
        <w:pStyle w:val="ListNumber"/>
        <w:spacing w:after="40"/>
      </w:pPr>
      <w:r>
        <w:t>Еженедельно: оборот, вознаграждение, удержания, ошибки, ФОТ на выдачу, рейтинг, переработки, денежный остаток.</w:t>
      </w:r>
    </w:p>
    <w:p>
      <w:pPr>
        <w:pStyle w:val="ListNumber"/>
        <w:spacing w:after="40"/>
      </w:pPr>
      <w:r>
        <w:t>Ежемесячно: обновление финансовой модели и решение GO/RECHECK/STOP.</w:t>
      </w:r>
    </w:p>
    <w:p>
      <w:pPr>
        <w:pStyle w:val="Heading1"/>
      </w:pPr>
      <w:r>
        <w:t>10. Экономика точки: что считать</w:t>
      </w:r>
    </w:p>
    <w:p>
      <w:r>
        <w:t>Базовая модель использует городскую точку 35 м²: аренда 65 тыс. ₽, эксплуатация/интернет 18 тыс. ₽, cash ФОТ 155 тыс. ₽, бухгалтерия/банк 7 тыс. ₽, расходники 12 тыс. ₽, прочие 10 тыс. ₽, УСН 6% и резерв 2% от дохода на ошибки/удержания. Это учебный сценарий, а не «средняя точка».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2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Показатель</w:t>
            </w:r>
          </w:p>
        </w:tc>
        <w:tc>
          <w:tcPr>
            <w:tcW w:type="dxa" w:w="3118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Ozon</w:t>
            </w:r>
          </w:p>
        </w:tc>
        <w:tc>
          <w:tcPr>
            <w:tcW w:type="dxa" w:w="3118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WB</w:t>
            </w:r>
          </w:p>
        </w:tc>
      </w:tr>
      <w:tr>
        <w:tc>
          <w:tcPr>
            <w:tcW w:type="dxa" w:w="340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Cash break-even оборот</w:t>
            </w:r>
          </w:p>
        </w:tc>
        <w:tc>
          <w:tcPr>
            <w:tcW w:type="dxa" w:w="3118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≈6,16 млн ₽/мес.</w:t>
            </w:r>
          </w:p>
        </w:tc>
        <w:tc>
          <w:tcPr>
            <w:tcW w:type="dxa" w:w="3118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≈5,80 млн ₽/мес.</w:t>
            </w:r>
          </w:p>
        </w:tc>
      </w:tr>
      <w:tr>
        <w:tc>
          <w:tcPr>
            <w:tcW w:type="dxa" w:w="340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Economic break-even</w:t>
            </w:r>
          </w:p>
        </w:tc>
        <w:tc>
          <w:tcPr>
            <w:tcW w:type="dxa" w:w="3118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≈6,85 млн ₽/мес.</w:t>
            </w:r>
          </w:p>
        </w:tc>
        <w:tc>
          <w:tcPr>
            <w:tcW w:type="dxa" w:w="3118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≈6,46 млн ₽/мес.</w:t>
            </w:r>
          </w:p>
        </w:tc>
      </w:tr>
      <w:tr>
        <w:tc>
          <w:tcPr>
            <w:tcW w:type="dxa" w:w="340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Оборот Base к М6</w:t>
            </w:r>
          </w:p>
        </w:tc>
        <w:tc>
          <w:tcPr>
            <w:tcW w:type="dxa" w:w="3118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7,50 млн ₽/мес.</w:t>
            </w:r>
          </w:p>
        </w:tc>
        <w:tc>
          <w:tcPr>
            <w:tcW w:type="dxa" w:w="3118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7,50 млн ₽/мес.</w:t>
            </w:r>
          </w:p>
        </w:tc>
      </w:tr>
      <w:tr>
        <w:tc>
          <w:tcPr>
            <w:tcW w:type="dxa" w:w="340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Cash profit М6</w:t>
            </w:r>
          </w:p>
        </w:tc>
        <w:tc>
          <w:tcPr>
            <w:tcW w:type="dxa" w:w="3118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≈72 тыс. ₽</w:t>
            </w:r>
          </w:p>
        </w:tc>
        <w:tc>
          <w:tcPr>
            <w:tcW w:type="dxa" w:w="3118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≈89 тыс. ₽</w:t>
            </w:r>
          </w:p>
        </w:tc>
      </w:tr>
      <w:tr>
        <w:tc>
          <w:tcPr>
            <w:tcW w:type="dxa" w:w="340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Economic profit М6</w:t>
            </w:r>
          </w:p>
        </w:tc>
        <w:tc>
          <w:tcPr>
            <w:tcW w:type="dxa" w:w="3118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≈42 тыс. ₽</w:t>
            </w:r>
          </w:p>
        </w:tc>
        <w:tc>
          <w:tcPr>
            <w:tcW w:type="dxa" w:w="3118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≈59 тыс. ₽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8050"/>
      </w:tblGrid>
      <w:tr>
        <w:tc>
          <w:tcPr>
            <w:tcW w:type="dxa" w:w="5100"/>
            <w:shd w:fill="C99A42"/>
            <w:tcBorders>
              <w:top w:val="single" w:sz="4" w:color="D9D0C2"/>
              <w:left w:val="single" w:sz="4" w:color="D9D0C2"/>
              <w:bottom w:val="single" w:sz="4" w:color="D9D0C2"/>
              <w:right w:val="single" w:sz="4" w:color="D9D0C2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ВЕРДИКТ СЦЕНАРИЯ</w:t>
            </w:r>
          </w:p>
        </w:tc>
        <w:tc>
          <w:tcPr>
            <w:tcW w:type="dxa" w:w="5100"/>
            <w:shd w:fill="FFF9F0"/>
            <w:tcBorders>
              <w:top w:val="single" w:sz="4" w:color="D9D0C2"/>
              <w:left w:val="single" w:sz="4" w:color="D9D0C2"/>
              <w:bottom w:val="single" w:sz="4" w:color="D9D0C2"/>
              <w:right w:val="single" w:sz="4" w:color="D9D0C2"/>
            </w:tcBorders>
          </w:tcPr>
          <w:p>
            <w:r>
              <w:rPr>
                <w:color w:val="332E28"/>
                <w:sz w:val="18"/>
              </w:rPr>
              <w:t>При этих допущениях точка уже прибыльна в М6, но запас прочности относительно economic break-even меньше желательных 20%. Итог — не «открывать», а RECHECK: нужен более сильный адрес, дешевле аренда/ФОТ или подтверждённый более высокий тариф.</w:t>
            </w:r>
          </w:p>
        </w:tc>
      </w:tr>
    </w:tbl>
    <w:p>
      <w:pPr>
        <w:spacing w:after="20"/>
      </w:pPr>
    </w:p>
    <w:p>
      <w:pPr>
        <w:pStyle w:val="Heading1"/>
      </w:pPr>
      <w:r>
        <w:t>11. Стартовый бюджет и денежный резерв</w:t>
      </w:r>
    </w:p>
    <w:p>
      <w:r>
        <w:t>В сценарии полная потребность в финансировании включает CAPEX, депозит/предзапусковые платежи и три месяца fixed cash OPEX. Поэтому сумма выше «стоимости ремонта» — примерно 1,46 млн ₽ для Ozon и 1,53 млн ₽ для WB в учебном примере.</w:t>
      </w:r>
    </w:p>
    <w:p>
      <w:pPr>
        <w:pStyle w:val="ListBullet"/>
        <w:spacing w:after="40"/>
      </w:pPr>
      <w:r>
        <w:t>Не брать аренду, если после ремонта остаётся меньше двух месяцев cash buffer.</w:t>
      </w:r>
    </w:p>
    <w:p>
      <w:pPr>
        <w:pStyle w:val="ListBullet"/>
        <w:spacing w:after="40"/>
      </w:pPr>
      <w:r>
        <w:t>Не считать обеспечительный платёж и депозит арендодателя расходом, но учитывать их как замороженные деньги.</w:t>
      </w:r>
    </w:p>
    <w:p>
      <w:pPr>
        <w:pStyle w:val="ListBullet"/>
        <w:spacing w:after="40"/>
      </w:pPr>
      <w:r>
        <w:t>Поддержку платформы не вычитать из стартового капитала заранее.</w:t>
      </w:r>
    </w:p>
    <w:p>
      <w:pPr>
        <w:pStyle w:val="ListBullet"/>
        <w:spacing w:after="40"/>
      </w:pPr>
      <w:r>
        <w:t>Если кредит нужен для закрытия операционного минуса после окончания поддержки, модель слишком слабая.</w:t>
      </w:r>
    </w:p>
    <w:p>
      <w:pPr>
        <w:pStyle w:val="Heading1"/>
      </w:pPr>
      <w:r>
        <w:t>12. Налоги и юридическая форма</w:t>
      </w:r>
    </w:p>
    <w:p>
      <w:r>
        <w:t>В Excel базовый налоговый сценарий — УСН 6% «Доходы». Это только ввод: фактический режим зависит от структуры бизнеса и региона. В 2026 году для УСН действует порог 20 млн ₽ доходов для освобождения от НДС; Федеральный закон от 04.07.2026 № 228-ФЗ сохраняет этот порог на 2027–2029 годы. При превышении применимого порога финансовую модель нужно перестраивать с учётом НДС.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8050"/>
      </w:tblGrid>
      <w:tr>
        <w:tc>
          <w:tcPr>
            <w:tcW w:type="dxa" w:w="5100"/>
            <w:shd w:fill="1F6B3A"/>
            <w:tcBorders>
              <w:top w:val="single" w:sz="4" w:color="D9D0C2"/>
              <w:left w:val="single" w:sz="4" w:color="D9D0C2"/>
              <w:bottom w:val="single" w:sz="4" w:color="D9D0C2"/>
              <w:right w:val="single" w:sz="4" w:color="D9D0C2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НЕ ПУТАТЬ</w:t>
            </w:r>
          </w:p>
        </w:tc>
        <w:tc>
          <w:tcPr>
            <w:tcW w:type="dxa" w:w="5100"/>
            <w:shd w:fill="FFF9F0"/>
            <w:tcBorders>
              <w:top w:val="single" w:sz="4" w:color="D9D0C2"/>
              <w:left w:val="single" w:sz="4" w:color="D9D0C2"/>
              <w:bottom w:val="single" w:sz="4" w:color="D9D0C2"/>
              <w:right w:val="single" w:sz="4" w:color="D9D0C2"/>
            </w:tcBorders>
          </w:tcPr>
          <w:p>
            <w:r>
              <w:rPr>
                <w:color w:val="332E28"/>
                <w:sz w:val="18"/>
              </w:rPr>
              <w:t>Оборот заказов ПВЗ не равен налогооблагаемой выручке владельца. Налоговый расчёт строится по доходам предпринимателя по договору с платформой, а не по стоимости всех товаров, которые забрали клиенты.</w:t>
            </w:r>
          </w:p>
        </w:tc>
      </w:tr>
    </w:tbl>
    <w:p>
      <w:pPr>
        <w:spacing w:after="20"/>
      </w:pPr>
    </w:p>
    <w:p>
      <w:pPr>
        <w:pStyle w:val="Heading1"/>
      </w:pPr>
      <w:r>
        <w:t>13. Риски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551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Риск</w:t>
            </w:r>
          </w:p>
        </w:tc>
        <w:tc>
          <w:tcPr>
            <w:tcW w:type="dxa" w:w="3402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Ранний сигнал</w:t>
            </w:r>
          </w:p>
        </w:tc>
        <w:tc>
          <w:tcPr>
            <w:tcW w:type="dxa" w:w="3969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Действие</w:t>
            </w:r>
          </w:p>
        </w:tc>
      </w:tr>
      <w:tr>
        <w:tc>
          <w:tcPr>
            <w:tcW w:type="dxa" w:w="2551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Слабая локация</w:t>
            </w:r>
          </w:p>
        </w:tc>
        <w:tc>
          <w:tcPr>
            <w:tcW w:type="dxa" w:w="340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Оборот &lt;80% консервативного плана</w:t>
            </w:r>
          </w:p>
        </w:tc>
        <w:tc>
          <w:tcPr>
            <w:tcW w:type="dxa" w:w="3969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Пересчитать runway и не расширять штат/расходы.</w:t>
            </w:r>
          </w:p>
        </w:tc>
      </w:tr>
      <w:tr>
        <w:tc>
          <w:tcPr>
            <w:tcW w:type="dxa" w:w="2551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Зависимость от поддержки</w:t>
            </w:r>
          </w:p>
        </w:tc>
        <w:tc>
          <w:tcPr>
            <w:tcW w:type="dxa" w:w="340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Без поддержки economic profit &lt;0</w:t>
            </w:r>
          </w:p>
        </w:tc>
        <w:tc>
          <w:tcPr>
            <w:tcW w:type="dxa" w:w="3969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Искать другой адрес или отказаться.</w:t>
            </w:r>
          </w:p>
        </w:tc>
      </w:tr>
      <w:tr>
        <w:tc>
          <w:tcPr>
            <w:tcW w:type="dxa" w:w="2551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Рост аренды</w:t>
            </w:r>
          </w:p>
        </w:tc>
        <w:tc>
          <w:tcPr>
            <w:tcW w:type="dxa" w:w="340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Индексация съедает запас прочности</w:t>
            </w:r>
          </w:p>
        </w:tc>
        <w:tc>
          <w:tcPr>
            <w:tcW w:type="dxa" w:w="3969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Переговоры/выход по договору.</w:t>
            </w:r>
          </w:p>
        </w:tc>
      </w:tr>
      <w:tr>
        <w:tc>
          <w:tcPr>
            <w:tcW w:type="dxa" w:w="2551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Кадровый дефицит</w:t>
            </w:r>
          </w:p>
        </w:tc>
        <w:tc>
          <w:tcPr>
            <w:tcW w:type="dxa" w:w="340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Владелец закрывает &gt;2 смен в неделю</w:t>
            </w:r>
          </w:p>
        </w:tc>
        <w:tc>
          <w:tcPr>
            <w:tcW w:type="dxa" w:w="3969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Повысить ФОТ в модели, искать резерв.</w:t>
            </w:r>
          </w:p>
        </w:tc>
      </w:tr>
      <w:tr>
        <w:tc>
          <w:tcPr>
            <w:tcW w:type="dxa" w:w="2551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Ошибки/удержания</w:t>
            </w:r>
          </w:p>
        </w:tc>
        <w:tc>
          <w:tcPr>
            <w:tcW w:type="dxa" w:w="340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Три недели роста подряд</w:t>
            </w:r>
          </w:p>
        </w:tc>
        <w:tc>
          <w:tcPr>
            <w:tcW w:type="dxa" w:w="3969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Аудит процессов, обучение, видео.</w:t>
            </w:r>
          </w:p>
        </w:tc>
      </w:tr>
      <w:tr>
        <w:tc>
          <w:tcPr>
            <w:tcW w:type="dxa" w:w="2551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Слабый рейтинг</w:t>
            </w:r>
          </w:p>
        </w:tc>
        <w:tc>
          <w:tcPr>
            <w:tcW w:type="dxa" w:w="340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Повторяющийся негатив</w:t>
            </w:r>
          </w:p>
        </w:tc>
        <w:tc>
          <w:tcPr>
            <w:tcW w:type="dxa" w:w="3969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Разбор причин, а не «ответы на отзывы».</w:t>
            </w:r>
          </w:p>
        </w:tc>
      </w:tr>
      <w:tr>
        <w:tc>
          <w:tcPr>
            <w:tcW w:type="dxa" w:w="2551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Изменение оферты</w:t>
            </w:r>
          </w:p>
        </w:tc>
        <w:tc>
          <w:tcPr>
            <w:tcW w:type="dxa" w:w="340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Новая версия договора</w:t>
            </w:r>
          </w:p>
        </w:tc>
        <w:tc>
          <w:tcPr>
            <w:tcW w:type="dxa" w:w="3969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Пересчёт тарифа и рисков до акцепта.</w:t>
            </w:r>
          </w:p>
        </w:tc>
      </w:tr>
      <w:tr>
        <w:tc>
          <w:tcPr>
            <w:tcW w:type="dxa" w:w="2551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Налоговый порог</w:t>
            </w:r>
          </w:p>
        </w:tc>
        <w:tc>
          <w:tcPr>
            <w:tcW w:type="dxa" w:w="340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Доход приближается к 20 млн ₽</w:t>
            </w:r>
          </w:p>
        </w:tc>
        <w:tc>
          <w:tcPr>
            <w:tcW w:type="dxa" w:w="3969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Пересчитать НДС и цену капитала.</w:t>
            </w:r>
          </w:p>
        </w:tc>
      </w:tr>
    </w:tbl>
    <w:p>
      <w:pPr>
        <w:spacing w:after="20"/>
      </w:pPr>
    </w:p>
    <w:p>
      <w:pPr>
        <w:pStyle w:val="Heading1"/>
      </w:pPr>
      <w:r>
        <w:t>14. План запуска 30/60/90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1814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Период</w:t>
            </w:r>
          </w:p>
        </w:tc>
        <w:tc>
          <w:tcPr>
            <w:tcW w:type="dxa" w:w="5102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Что должно быть сделано</w:t>
            </w:r>
          </w:p>
        </w:tc>
        <w:tc>
          <w:tcPr>
            <w:tcW w:type="dxa" w:w="3061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Контрольная точка</w:t>
            </w:r>
          </w:p>
        </w:tc>
      </w:tr>
      <w:tr>
        <w:tc>
          <w:tcPr>
            <w:tcW w:type="dxa" w:w="181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Дни 1–10</w:t>
            </w:r>
          </w:p>
        </w:tc>
        <w:tc>
          <w:tcPr>
            <w:tcW w:type="dxa" w:w="510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3–5 зон, 3 помещения, полевые замеры, сметы, модель</w:t>
            </w:r>
          </w:p>
        </w:tc>
        <w:tc>
          <w:tcPr>
            <w:tcW w:type="dxa" w:w="3061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Есть адрес, проходящий stress-case.</w:t>
            </w:r>
          </w:p>
        </w:tc>
      </w:tr>
      <w:tr>
        <w:tc>
          <w:tcPr>
            <w:tcW w:type="dxa" w:w="181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Дни 11–20</w:t>
            </w:r>
          </w:p>
        </w:tc>
        <w:tc>
          <w:tcPr>
            <w:tcW w:type="dxa" w:w="510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Оферта, договор аренды, одобрение платформы, финальные сметы</w:t>
            </w:r>
          </w:p>
        </w:tc>
        <w:tc>
          <w:tcPr>
            <w:tcW w:type="dxa" w:w="3061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GO/NO-GO до подписания аренды.</w:t>
            </w:r>
          </w:p>
        </w:tc>
      </w:tr>
      <w:tr>
        <w:tc>
          <w:tcPr>
            <w:tcW w:type="dxa" w:w="181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Дни 21–30</w:t>
            </w:r>
          </w:p>
        </w:tc>
        <w:tc>
          <w:tcPr>
            <w:tcW w:type="dxa" w:w="510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Ремонт, техника, камеры, найм, обучение, тест-день</w:t>
            </w:r>
          </w:p>
        </w:tc>
        <w:tc>
          <w:tcPr>
            <w:tcW w:type="dxa" w:w="3061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Готовность к первой выдаче.</w:t>
            </w:r>
          </w:p>
        </w:tc>
      </w:tr>
      <w:tr>
        <w:tc>
          <w:tcPr>
            <w:tcW w:type="dxa" w:w="181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Дни 31–60</w:t>
            </w:r>
          </w:p>
        </w:tc>
        <w:tc>
          <w:tcPr>
            <w:tcW w:type="dxa" w:w="510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Еженедельный факт vs план, исправление операций</w:t>
            </w:r>
          </w:p>
        </w:tc>
        <w:tc>
          <w:tcPr>
            <w:tcW w:type="dxa" w:w="3061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Оборот растёт к Base, ошибки контролируются.</w:t>
            </w:r>
          </w:p>
        </w:tc>
      </w:tr>
      <w:tr>
        <w:tc>
          <w:tcPr>
            <w:tcW w:type="dxa" w:w="181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Дни 61–90</w:t>
            </w:r>
          </w:p>
        </w:tc>
        <w:tc>
          <w:tcPr>
            <w:tcW w:type="dxa" w:w="510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Повторный прогноз М4–М12</w:t>
            </w:r>
          </w:p>
        </w:tc>
        <w:tc>
          <w:tcPr>
            <w:tcW w:type="dxa" w:w="3061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Есть путь к economic break-even без поддержки.</w:t>
            </w:r>
          </w:p>
        </w:tc>
      </w:tr>
    </w:tbl>
    <w:p>
      <w:pPr>
        <w:spacing w:after="20"/>
      </w:pPr>
    </w:p>
    <w:p>
      <w:pPr>
        <w:pStyle w:val="Heading1"/>
      </w:pPr>
      <w:r>
        <w:t>15. KPI и GO / RECHECK / STOP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665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Метрика</w:t>
            </w:r>
          </w:p>
        </w:tc>
        <w:tc>
          <w:tcPr>
            <w:tcW w:type="dxa" w:w="2494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GO</w:t>
            </w:r>
          </w:p>
        </w:tc>
        <w:tc>
          <w:tcPr>
            <w:tcW w:type="dxa" w:w="2494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RECHECK</w:t>
            </w:r>
          </w:p>
        </w:tc>
        <w:tc>
          <w:tcPr>
            <w:tcW w:type="dxa" w:w="2494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STOP/Exit plan</w:t>
            </w:r>
          </w:p>
        </w:tc>
      </w:tr>
      <w:tr>
        <w:tc>
          <w:tcPr>
            <w:tcW w:type="dxa" w:w="2665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Location score</w:t>
            </w:r>
          </w:p>
        </w:tc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85+</w:t>
            </w:r>
          </w:p>
        </w:tc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70–84</w:t>
            </w:r>
          </w:p>
        </w:tc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&lt;70</w:t>
            </w:r>
          </w:p>
        </w:tc>
      </w:tr>
      <w:tr>
        <w:tc>
          <w:tcPr>
            <w:tcW w:type="dxa" w:w="2665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Оборот vs Conservative</w:t>
            </w:r>
          </w:p>
        </w:tc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≥100%</w:t>
            </w:r>
          </w:p>
        </w:tc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80–99%</w:t>
            </w:r>
          </w:p>
        </w:tc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&lt;80% два месяца</w:t>
            </w:r>
          </w:p>
        </w:tc>
      </w:tr>
      <w:tr>
        <w:tc>
          <w:tcPr>
            <w:tcW w:type="dxa" w:w="2665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Economic profit</w:t>
            </w:r>
          </w:p>
        </w:tc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положительный и растёт</w:t>
            </w:r>
          </w:p>
        </w:tc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около нуля</w:t>
            </w:r>
          </w:p>
        </w:tc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устойчиво отрицательный</w:t>
            </w:r>
          </w:p>
        </w:tc>
      </w:tr>
      <w:tr>
        <w:tc>
          <w:tcPr>
            <w:tcW w:type="dxa" w:w="2665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Cash runway</w:t>
            </w:r>
          </w:p>
        </w:tc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&gt;3 мес.</w:t>
            </w:r>
          </w:p>
        </w:tc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2–3 мес.</w:t>
            </w:r>
          </w:p>
        </w:tc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&lt;2 мес.</w:t>
            </w:r>
          </w:p>
        </w:tc>
      </w:tr>
      <w:tr>
        <w:tc>
          <w:tcPr>
            <w:tcW w:type="dxa" w:w="2665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Владелец закрывает смены</w:t>
            </w:r>
          </w:p>
        </w:tc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эпизодически</w:t>
            </w:r>
          </w:p>
        </w:tc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1–2/нед.</w:t>
            </w:r>
          </w:p>
        </w:tc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системно</w:t>
            </w:r>
          </w:p>
        </w:tc>
      </w:tr>
      <w:tr>
        <w:tc>
          <w:tcPr>
            <w:tcW w:type="dxa" w:w="2665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Ошибки/удержания</w:t>
            </w:r>
          </w:p>
        </w:tc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стабильны</w:t>
            </w:r>
          </w:p>
        </w:tc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рост 1–2 недели</w:t>
            </w:r>
          </w:p>
        </w:tc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рост 3+ недели</w:t>
            </w:r>
          </w:p>
        </w:tc>
      </w:tr>
      <w:tr>
        <w:tc>
          <w:tcPr>
            <w:tcW w:type="dxa" w:w="2665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После поддержки</w:t>
            </w:r>
          </w:p>
        </w:tc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точка в плюсе</w:t>
            </w:r>
          </w:p>
        </w:tc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на грани</w:t>
            </w:r>
          </w:p>
        </w:tc>
        <w:tc>
          <w:tcPr>
            <w:tcW w:type="dxa" w:w="2494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уходит в минус</w:t>
            </w:r>
          </w:p>
        </w:tc>
      </w:tr>
    </w:tbl>
    <w:p>
      <w:pPr>
        <w:spacing w:after="20"/>
      </w:pPr>
    </w:p>
    <w:p>
      <w:pPr>
        <w:pStyle w:val="Heading1"/>
      </w:pPr>
      <w:r>
        <w:t>16. Масштабирование и вторая точка</w:t>
      </w:r>
    </w:p>
    <w:p>
      <w:r>
        <w:t>Вторую точку нельзя открывать потому, что первая «вроде работает». Сначала первая должна 3 месяца подряд показывать положительную экономическую прибыль, стабильный штат, нормальный рейтинг и отсутствие критичных удержаний.</w:t>
      </w:r>
    </w:p>
    <w:p>
      <w:pPr>
        <w:pStyle w:val="ListBullet"/>
        <w:spacing w:after="40"/>
      </w:pPr>
      <w:r>
        <w:t>Централизовать подбор/обучение сотрудников и контроль инцидентов.</w:t>
      </w:r>
    </w:p>
    <w:p>
      <w:pPr>
        <w:pStyle w:val="ListBullet"/>
        <w:spacing w:after="40"/>
      </w:pPr>
      <w:r>
        <w:t>Сравнивать ФОТ на выдачу и прибыль на час управления владельца.</w:t>
      </w:r>
    </w:p>
    <w:p>
      <w:pPr>
        <w:pStyle w:val="ListBullet"/>
        <w:spacing w:after="40"/>
      </w:pPr>
      <w:r>
        <w:t>Не переносить тариф и поддержку первой точки на вторую — условия адресные.</w:t>
      </w:r>
    </w:p>
    <w:p>
      <w:pPr>
        <w:pStyle w:val="ListBullet"/>
        <w:spacing w:after="40"/>
      </w:pPr>
      <w:r>
        <w:t>Считать налоговые последствия роста сети до подписания следующей аренды.</w:t>
      </w:r>
    </w:p>
    <w:p>
      <w:pPr>
        <w:pStyle w:val="ListBullet"/>
        <w:spacing w:after="40"/>
      </w:pPr>
      <w:r>
        <w:t>Для покупки готового ПВЗ проверять не «прибыль продавца», а выплаты платформы, аренду, штат, рейтинг, удержания и историю оферты.</w:t>
      </w:r>
    </w:p>
    <w:p>
      <w:pPr>
        <w:pStyle w:val="Heading1"/>
      </w:pPr>
      <w:r>
        <w:t>17. Финансирование: банк или инвестор</w:t>
      </w:r>
    </w:p>
    <w:p>
      <w:r>
        <w:t>FundingCase в Excel показывает, что при 50% долга, 24% годовых и 36 месяцах учебная точка формально обслуживает долг в М6: DSCR около 2,5x для Ozon и 3,0x для WB. Но накопленный cash-flow к концу первого года остаётся отрицательным после стартовых вложений и обслуживания долга. Это важный вывод: способность платить кредит не равна быстрой окупаемости.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082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Что показать банку/инвестору</w:t>
            </w:r>
          </w:p>
        </w:tc>
        <w:tc>
          <w:tcPr>
            <w:tcW w:type="dxa" w:w="5839"/>
            <w:shd w:fill="172235"/>
            <w:vAlign w:val="center"/>
            <w:tcBorders>
              <w:bottom w:val="single" w:sz="4" w:color="C99A42"/>
            </w:tcBorders>
          </w:tcPr>
          <w:p>
            <w:r>
              <w:rPr>
                <w:b/>
                <w:color w:val="FFFFFF"/>
                <w:sz w:val="17"/>
              </w:rPr>
              <w:t>Документ/доказательство</w:t>
            </w:r>
          </w:p>
        </w:tc>
      </w:tr>
      <w:tr>
        <w:tc>
          <w:tcPr>
            <w:tcW w:type="dxa" w:w="408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Подтверждённые условия платформы</w:t>
            </w:r>
          </w:p>
        </w:tc>
        <w:tc>
          <w:tcPr>
            <w:tcW w:type="dxa" w:w="5839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скрин карты + оферта + письмо/статус одобрения</w:t>
            </w:r>
          </w:p>
        </w:tc>
      </w:tr>
      <w:tr>
        <w:tc>
          <w:tcPr>
            <w:tcW w:type="dxa" w:w="408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Помещение</w:t>
            </w:r>
          </w:p>
        </w:tc>
        <w:tc>
          <w:tcPr>
            <w:tcW w:type="dxa" w:w="5839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проект договора аренды + план + смета ремонта</w:t>
            </w:r>
          </w:p>
        </w:tc>
      </w:tr>
      <w:tr>
        <w:tc>
          <w:tcPr>
            <w:tcW w:type="dxa" w:w="408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CAPEX</w:t>
            </w:r>
          </w:p>
        </w:tc>
        <w:tc>
          <w:tcPr>
            <w:tcW w:type="dxa" w:w="5839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2–3 коммерческих предложения</w:t>
            </w:r>
          </w:p>
        </w:tc>
      </w:tr>
      <w:tr>
        <w:tc>
          <w:tcPr>
            <w:tcW w:type="dxa" w:w="408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Команда</w:t>
            </w:r>
          </w:p>
        </w:tc>
        <w:tc>
          <w:tcPr>
            <w:tcW w:type="dxa" w:w="5839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штат, ставки, график и подменный резерв</w:t>
            </w:r>
          </w:p>
        </w:tc>
      </w:tr>
      <w:tr>
        <w:tc>
          <w:tcPr>
            <w:tcW w:type="dxa" w:w="408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Экономика</w:t>
            </w:r>
          </w:p>
        </w:tc>
        <w:tc>
          <w:tcPr>
            <w:tcW w:type="dxa" w:w="5839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финмодель Base/Conservative/Stress без поддержки</w:t>
            </w:r>
          </w:p>
        </w:tc>
      </w:tr>
      <w:tr>
        <w:tc>
          <w:tcPr>
            <w:tcW w:type="dxa" w:w="408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Ликвидность</w:t>
            </w:r>
          </w:p>
        </w:tc>
        <w:tc>
          <w:tcPr>
            <w:tcW w:type="dxa" w:w="5839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12-месячный cash-flow + резерв</w:t>
            </w:r>
          </w:p>
        </w:tc>
      </w:tr>
      <w:tr>
        <w:tc>
          <w:tcPr>
            <w:tcW w:type="dxa" w:w="408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Риски</w:t>
            </w:r>
          </w:p>
        </w:tc>
        <w:tc>
          <w:tcPr>
            <w:tcW w:type="dxa" w:w="5839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GO/STOP критерии и условия выхода из аренды</w:t>
            </w:r>
          </w:p>
        </w:tc>
      </w:tr>
      <w:tr>
        <w:tc>
          <w:tcPr>
            <w:tcW w:type="dxa" w:w="4082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Собственные средства</w:t>
            </w:r>
          </w:p>
        </w:tc>
        <w:tc>
          <w:tcPr>
            <w:tcW w:type="dxa" w:w="5839"/>
            <w:vAlign w:val="center"/>
            <w:tcBorders>
              <w:top w:val="single" w:sz="2" w:color="D9D0C2"/>
              <w:left w:val="single" w:sz="2" w:color="D9D0C2"/>
              <w:bottom w:val="single" w:sz="2" w:color="D9D0C2"/>
              <w:right w:val="single" w:sz="2" w:color="D9D0C2"/>
            </w:tcBorders>
          </w:tcPr>
          <w:p>
            <w:pPr>
              <w:spacing w:after="0"/>
            </w:pPr>
            <w:r>
              <w:rPr>
                <w:color w:val="2A2723"/>
                <w:sz w:val="17"/>
              </w:rPr>
              <w:t>выписка/подтверждение источника</w:t>
            </w:r>
          </w:p>
        </w:tc>
      </w:tr>
    </w:tbl>
    <w:p>
      <w:pPr>
        <w:spacing w:after="20"/>
      </w:pPr>
    </w:p>
    <w:p>
      <w:pPr>
        <w:pStyle w:val="Heading1"/>
      </w:pPr>
      <w:r>
        <w:t>18. Итоговое решение</w:t>
      </w:r>
    </w:p>
    <w:p>
      <w:r>
        <w:t>ПВЗ в 2026 году нельзя оценивать фразой «окупается от 5 месяцев» или одним процентом тарифа. Платформы дают поддержку и разные условия, но главный актив владельца — сильный адрес с операционной дисциплиной.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8050"/>
      </w:tblGrid>
      <w:tr>
        <w:tc>
          <w:tcPr>
            <w:tcW w:type="dxa" w:w="5100"/>
            <w:shd w:fill="C99A42"/>
            <w:tcBorders>
              <w:top w:val="single" w:sz="4" w:color="D9D0C2"/>
              <w:left w:val="single" w:sz="4" w:color="D9D0C2"/>
              <w:bottom w:val="single" w:sz="4" w:color="D9D0C2"/>
              <w:right w:val="single" w:sz="4" w:color="D9D0C2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ИТОГ</w:t>
            </w:r>
          </w:p>
        </w:tc>
        <w:tc>
          <w:tcPr>
            <w:tcW w:type="dxa" w:w="5100"/>
            <w:shd w:fill="FFF9F0"/>
            <w:tcBorders>
              <w:top w:val="single" w:sz="4" w:color="D9D0C2"/>
              <w:left w:val="single" w:sz="4" w:color="D9D0C2"/>
              <w:bottom w:val="single" w:sz="4" w:color="D9D0C2"/>
              <w:right w:val="single" w:sz="4" w:color="D9D0C2"/>
            </w:tcBorders>
          </w:tcPr>
          <w:p>
            <w:r>
              <w:rPr>
                <w:color w:val="332E28"/>
                <w:sz w:val="18"/>
              </w:rPr>
              <w:t>В учебном городском сценарии вердикт — RECHECK, а не безусловный GO. Точка способна выйти в плюс, но запас прочности недостаточен для подписания долгосрочной аренды без более сильного тарифа/локации или снижения постоянных расходов. Это профессиональнее, чем «идея выгодная».</w:t>
            </w:r>
          </w:p>
        </w:tc>
      </w:tr>
    </w:tbl>
    <w:p>
      <w:pPr>
        <w:spacing w:after="20"/>
      </w:pPr>
    </w:p>
    <w:p>
      <w:pPr>
        <w:pStyle w:val="Heading1"/>
        <w:pageBreakBefore/>
      </w:pPr>
      <w:r>
        <w:t>19. Источники и дата фактчека</w:t>
      </w:r>
    </w:p>
    <w:p>
      <w:r>
        <w:t>Фактчек: 22 августа 2026 года. Перед заявкой откройте источники заново.</w:t>
      </w:r>
    </w:p>
    <w:p>
      <w:pPr>
        <w:pStyle w:val="SmallNote"/>
      </w:pPr>
      <w:r>
        <w:t>https://pvz.ozon.ru/</w:t>
      </w:r>
    </w:p>
    <w:p>
      <w:pPr>
        <w:pStyle w:val="SmallNote"/>
      </w:pPr>
      <w:r>
        <w:t>https://docs.ozon.ru/legal/partners/pickup/ru/contract/</w:t>
      </w:r>
    </w:p>
    <w:p>
      <w:pPr>
        <w:pStyle w:val="SmallNote"/>
      </w:pPr>
      <w:r>
        <w:t>https://t.me/s/ozonapvz?before=2209</w:t>
      </w:r>
    </w:p>
    <w:p>
      <w:pPr>
        <w:pStyle w:val="SmallNote"/>
      </w:pPr>
      <w:r>
        <w:t>https://t.me/s/ozonapvz/1770</w:t>
      </w:r>
    </w:p>
    <w:p>
      <w:pPr>
        <w:pStyle w:val="SmallNote"/>
      </w:pPr>
      <w:r>
        <w:t>https://t.me/s/ozonapvz/2275</w:t>
      </w:r>
    </w:p>
    <w:p>
      <w:pPr>
        <w:pStyle w:val="SmallNote"/>
      </w:pPr>
      <w:r>
        <w:t>https://pvz.wb.ru/</w:t>
      </w:r>
    </w:p>
    <w:p>
      <w:pPr>
        <w:pStyle w:val="SmallNote"/>
      </w:pPr>
      <w:r>
        <w:t>https://pvz.wb.ru/offer?country=RU</w:t>
      </w:r>
    </w:p>
    <w:p>
      <w:pPr>
        <w:pStyle w:val="SmallNote"/>
      </w:pPr>
      <w:r>
        <w:t>https://pvz.wb.ru/simplified-conditions</w:t>
      </w:r>
    </w:p>
    <w:p>
      <w:pPr>
        <w:pStyle w:val="SmallNote"/>
      </w:pPr>
      <w:r>
        <w:t>https://pro.wildberries.ru/lesson/2zavBjdRQc6Y46b2yCQdGvL8jI4/39q8tdxyJcWJkPl0WR4ZXd24e9q</w:t>
      </w:r>
    </w:p>
    <w:p>
      <w:pPr>
        <w:pStyle w:val="SmallNote"/>
      </w:pPr>
      <w:r>
        <w:t>https://pro.wildberries.ru/lesson/2zavEmJT4MN9S9gT5ExlDSQmYQ7/39q8tdxyJcWJkPl0WR4ZXd24e9q</w:t>
      </w:r>
    </w:p>
    <w:p>
      <w:pPr>
        <w:pStyle w:val="SmallNote"/>
      </w:pPr>
      <w:r>
        <w:t>https://www.nalog.gov.ru/new2026/</w:t>
      </w:r>
    </w:p>
    <w:p>
      <w:pPr>
        <w:pStyle w:val="SmallNote"/>
      </w:pPr>
      <w:r>
        <w:t>https://www.nalog.gov.ru/rn77/taxation/taxes/nds_usn/</w:t>
      </w:r>
    </w:p>
    <w:p>
      <w:pPr>
        <w:pStyle w:val="SmallNote"/>
      </w:pPr>
      <w:r>
        <w:t>https://www.nalog.gov.ru/rn77/news/activities_fts/16635360/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65F"/>
        <w:sz w:val="15"/>
      </w:rPr>
      <w:t>Бизнес под микроскопом · ПВЗ Ozon / Wildberries · досье бизнес-модели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26221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Georgia" w:hAnsi="Georgia"/>
      <w:b/>
      <w:bCs/>
      <w:color w:val="18171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7223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b/>
      <w:color w:val="18171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rial" w:hAnsi="Arial"/>
      <w:color w:val="6B665F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ПВЗ Ozon / Wildberries — досье бизнес-модели</dc:title>
  <dc:subject>Профессиональное досье бизнес-модели ПВЗ Ozon / Wildberries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