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Речевая аналитика: чек-лист персональных данных и ИБ</w:t>
      </w:r>
    </w:p>
    <w:p>
      <w:r>
        <w:rPr>
          <w:color w:val="475569"/>
          <w:sz w:val="22"/>
        </w:rPr>
        <w:t>Карта вопросов перед загрузкой реальных разговоров во внешний или внутренний аналитический контур.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Чек-лист ПД и безопасности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Дисклеймер</w:t>
            </w:r>
            <w:r>
              <w:br/>
              <w:t>Это рабочая карта проверки, а не юридическое заключение. Основание обработки, уведомления, договоры и специальные категории данных оцениваются применительно к вашей компании.</w:t>
            </w:r>
          </w:p>
        </w:tc>
      </w:tr>
    </w:tbl>
    <w:p/>
    <w:p>
      <w:pPr>
        <w:pStyle w:val="Heading1"/>
      </w:pPr>
      <w:r>
        <w:t>1. Цель и минимизация</w:t>
      </w:r>
    </w:p>
    <w:p>
      <w:pPr>
        <w:pStyle w:val="ListBullet"/>
      </w:pPr>
      <w:r>
        <w:t>цель обработки сформулирована конкретно;</w:t>
      </w:r>
    </w:p>
    <w:p>
      <w:pPr>
        <w:pStyle w:val="ListBullet"/>
      </w:pPr>
      <w:r>
        <w:t>не собираются данные «на будущее» без связи с целью;</w:t>
      </w:r>
    </w:p>
    <w:p>
      <w:pPr>
        <w:pStyle w:val="ListBullet"/>
      </w:pPr>
      <w:r>
        <w:t>определено, какие разговоры не нужно загружать;</w:t>
      </w:r>
    </w:p>
    <w:p>
      <w:pPr>
        <w:pStyle w:val="ListBullet"/>
      </w:pPr>
      <w:r>
        <w:t>срок хранения ограничен задачей.</w:t>
      </w:r>
    </w:p>
    <w:p>
      <w:pPr>
        <w:pStyle w:val="Heading1"/>
      </w:pPr>
      <w:r>
        <w:t>2. Правовое основание</w:t>
      </w:r>
    </w:p>
    <w:p>
      <w:r>
        <w:t>Статья 6 152-ФЗ содержит несколько оснований обработки; согласие — не единственный вариант. Компания должна выбрать основание применительно к своей ситуации и уметь его доказать. Если используется согласие, статья 9 требует конкретности, информированности и отдельного оформления от иных документов, которые субъект подтверждает или подписывает.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Проверка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Комментарий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Основание ст. 6 определено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Если согласие — текст и способ получения проверены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Сотрудники уведомлены/основание обработки их коммуникаций определено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Клиентский сценарий информирования проверен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3. Поручение внешнему поставщику</w:t>
      </w:r>
    </w:p>
    <w:p>
      <w:pPr>
        <w:pStyle w:val="ListBullet"/>
      </w:pPr>
      <w:r>
        <w:t>перечень персональных данных;</w:t>
      </w:r>
    </w:p>
    <w:p>
      <w:pPr>
        <w:pStyle w:val="ListBullet"/>
      </w:pPr>
      <w:r>
        <w:t>перечень действий с ними;</w:t>
      </w:r>
    </w:p>
    <w:p>
      <w:pPr>
        <w:pStyle w:val="ListBullet"/>
      </w:pPr>
      <w:r>
        <w:t>цели обработки;</w:t>
      </w:r>
    </w:p>
    <w:p>
      <w:pPr>
        <w:pStyle w:val="ListBullet"/>
      </w:pPr>
      <w:r>
        <w:t>конфиденциальность;</w:t>
      </w:r>
    </w:p>
    <w:p>
      <w:pPr>
        <w:pStyle w:val="ListBullet"/>
      </w:pPr>
      <w:r>
        <w:t>требования локализации и организационных мер;</w:t>
      </w:r>
    </w:p>
    <w:p>
      <w:pPr>
        <w:pStyle w:val="ListBullet"/>
      </w:pPr>
      <w:r>
        <w:t>требования к безопасности;</w:t>
      </w:r>
    </w:p>
    <w:p>
      <w:pPr>
        <w:pStyle w:val="ListBullet"/>
      </w:pPr>
      <w:r>
        <w:t>обязанность предоставлять подтверждающие документы;</w:t>
      </w:r>
    </w:p>
    <w:p>
      <w:pPr>
        <w:pStyle w:val="ListBullet"/>
      </w:pPr>
      <w:r>
        <w:t>порядок уведомления об инцидентах;</w:t>
      </w:r>
    </w:p>
    <w:p>
      <w:pPr>
        <w:pStyle w:val="ListBullet"/>
      </w:pPr>
      <w:r>
        <w:t>субподрядчики и дальнейшее поручение.</w:t>
      </w:r>
    </w:p>
    <w:p>
      <w:pPr>
        <w:pStyle w:val="Heading1"/>
      </w:pPr>
      <w:r>
        <w:t>4. Локализация и маршрут данных</w:t>
      </w:r>
    </w:p>
    <w:p>
      <w:r>
        <w:t>Часть 5 статьи 18 152-ФЗ в актуальной редакции запрещает при сборе персональных данных граждан РФ использовать для записи, систематизации, накопления, хранения, уточнения и извлечения базы данных за пределами РФ, кроме прямо установленных исключений. Это нужно проверить по фактической архитектуре, а не только по юридическому адресу поставщика.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Узел</w:t>
            </w:r>
          </w:p>
        </w:tc>
        <w:tc>
          <w:tcPr>
            <w:tcW w:type="dxa" w:w="2541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Где находится</w:t>
            </w:r>
          </w:p>
        </w:tc>
        <w:tc>
          <w:tcPr>
            <w:tcW w:type="dxa" w:w="2541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Кто имеет доступ</w:t>
            </w:r>
          </w:p>
        </w:tc>
        <w:tc>
          <w:tcPr>
            <w:tcW w:type="dxa" w:w="2541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Срок хранения</w:t>
            </w:r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Телефония/запись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Первичное хранилище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Сервис распознавания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Сервис AI-анализа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CRM/BI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Резервные копии</w:t>
            </w:r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2541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5. Категории данных</w:t>
      </w:r>
    </w:p>
    <w:p>
      <w:pPr>
        <w:pStyle w:val="ListBullet"/>
      </w:pPr>
      <w:r>
        <w:t>обычные ПД: имя, телефон, email, заказ, договорённости;</w:t>
      </w:r>
    </w:p>
    <w:p>
      <w:pPr>
        <w:pStyle w:val="ListBullet"/>
      </w:pPr>
      <w:r>
        <w:t>специальные категории могут случайно прозвучать в разговоре;</w:t>
      </w:r>
    </w:p>
    <w:p>
      <w:pPr>
        <w:pStyle w:val="ListBullet"/>
      </w:pPr>
      <w:r>
        <w:t>биометрический сценарий оценивается отдельно, если данные используются для идентификации личности;</w:t>
      </w:r>
    </w:p>
    <w:p>
      <w:pPr>
        <w:pStyle w:val="ListBullet"/>
      </w:pPr>
      <w:r>
        <w:t>банковские, паспортные и иные чувствительные поля по возможности не должны попадать в аналитический контур без необходимости.</w:t>
      </w:r>
    </w:p>
    <w:p>
      <w:pPr>
        <w:pStyle w:val="Heading1"/>
      </w:pPr>
      <w:r>
        <w:t>6. Доступ и безопасность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Контроль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RBAC/минимальные роли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MFA для администраторов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Шифрование в канале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Шифрование хранения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Аудит доступа к записи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Сервисные аккаунты вместо общих логинов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Срок ротации ключей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Экспорт ограничен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Удаление подтверждается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Инцидент-процесс описан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7. Автоматические решения</w:t>
      </w:r>
    </w:p>
    <w:p>
      <w:r>
        <w:t>Если вывод AI влияет на деньги, дисциплинарные решения или юридически значимое действие, проект должен предусматривать ручную верификацию и журнал ошибки. Даже хороший средний accuracy не делает безопасным автоматическое применение к каждому отдельному разговору.</w:t>
      </w:r>
    </w:p>
    <w:p>
      <w:pPr>
        <w:pStyle w:val="Heading1"/>
      </w:pPr>
      <w:r>
        <w:t>8. Gate до пилота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GO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TEST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STOP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цель, основание, поручение, локализация и доступы подтверждены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есть некритичный вопрос, который можно закрыть до обработки полной выборки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непонятно правовое основание; поставщик не раскрывает маршрут/субподрядчиков; критичные требования безопасности не выполняются</w:t>
            </w:r>
          </w:p>
        </w:tc>
      </w:tr>
    </w:tbl>
    <w:p/>
    <w:p>
      <w:pPr>
        <w:pStyle w:val="Heading1"/>
      </w:pPr>
      <w:r>
        <w:t>Источники</w:t>
      </w:r>
    </w:p>
    <w:p>
      <w:r>
        <w:rPr>
          <w:b/>
        </w:rPr>
        <w:t xml:space="preserve">152-ФЗ, ст. 6: </w:t>
      </w:r>
      <w:r>
        <w:t>https://www.consultant.ru/document/cons_doc_LAW_61801/315f051396c88f1e4f827ba3f2ae313d999a1873/</w:t>
      </w:r>
    </w:p>
    <w:p>
      <w:r>
        <w:rPr>
          <w:b/>
        </w:rPr>
        <w:t xml:space="preserve">152-ФЗ, ст. 9: </w:t>
      </w:r>
      <w:r>
        <w:t>https://www.consultant.ru/document/cons_doc_LAW_61801/6c94959bc017ac80140621762d2ac59f6006b08c/</w:t>
      </w:r>
    </w:p>
    <w:p>
      <w:r>
        <w:rPr>
          <w:b/>
        </w:rPr>
        <w:t xml:space="preserve">152-ФЗ, ст. 18: </w:t>
      </w:r>
      <w:r>
        <w:t>https://www.consultant.ru/document/cons_doc_LAW_61801/cbf4e15b7c330f9372e876cdf2bc928bad7950ef/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