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Карта рисков и контрольных метрик сервиса ремонта</w:t>
      </w:r>
    </w:p>
    <w:p>
      <w:r>
        <w:rPr>
          <w:i/>
          <w:color w:val="666666"/>
          <w:sz w:val="20"/>
        </w:rPr>
        <w:t>Рабочий инструмент владельца. Обновлять минимум раз в месяц.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4EFE4"/>
          </w:tcPr>
          <w:p>
            <w:r>
              <w:rPr>
                <w:rFonts w:ascii="Liberation Sans" w:hAnsi="Liberation Sans"/>
                <w:b/>
                <w:sz w:val="21"/>
              </w:rPr>
              <w:t>Как использовать</w:t>
              <w:br/>
            </w:r>
            <w:r>
              <w:rPr>
                <w:rFonts w:ascii="Liberation Sans" w:hAnsi="Liberation Sans"/>
                <w:sz w:val="20"/>
              </w:rPr>
              <w:t>Для каждого риска назначьте владельца, контрольный показатель и действие. Риск без метрики обычно замечают слишком поздно.</w:t>
            </w:r>
          </w:p>
        </w:tc>
      </w:tr>
    </w:tbl>
    <w:p/>
    <w:p>
      <w:pPr>
        <w:pStyle w:val="Heading1"/>
      </w:pPr>
      <w:r>
        <w:t>Матрица рисков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19"/>
        <w:gridCol w:w="1719"/>
        <w:gridCol w:w="1719"/>
        <w:gridCol w:w="1719"/>
        <w:gridCol w:w="1719"/>
        <w:gridCol w:w="1719"/>
      </w:tblGrid>
      <w:tr>
        <w:tc>
          <w:tcPr>
            <w:tcW w:type="dxa" w:w="2268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Риск</w:t>
            </w:r>
          </w:p>
        </w:tc>
        <w:tc>
          <w:tcPr>
            <w:tcW w:type="dxa" w:w="1701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Вероятность</w:t>
            </w:r>
          </w:p>
        </w:tc>
        <w:tc>
          <w:tcPr>
            <w:tcW w:type="dxa" w:w="1701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Ущерб</w:t>
            </w:r>
          </w:p>
        </w:tc>
        <w:tc>
          <w:tcPr>
            <w:tcW w:type="dxa" w:w="3402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Ранний сигнал</w:t>
            </w:r>
          </w:p>
        </w:tc>
        <w:tc>
          <w:tcPr>
            <w:tcW w:type="dxa" w:w="2835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Контроль</w:t>
            </w:r>
          </w:p>
        </w:tc>
        <w:tc>
          <w:tcPr>
            <w:tcW w:type="dxa" w:w="3402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Действие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CAC растет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Высокая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Высокий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Цена оплаченного заказа растет 2 недели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CAC по каналу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Сократить/пересобрать канал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Низкая конверсия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Средняя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Высокий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Много лидов без выезда/оплаты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Лид → заказ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Разобрать скорость и причины отказа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Переделки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Средняя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Высокий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Повторные бесплатные выезды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% и ₽ гарантий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Аудит мастера/диагностики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Один сильный мастер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Высокая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Высокий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&gt;40% выручки на одном человеке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Доля выручки по мастеру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Дублировать компетенцию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Склад замораживает cash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Средняя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Средний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Рост остатков быстрее заказов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Дни запаса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Остановить пополнение редких SKU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Непрозрачные детали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Средняя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Высокий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Нет закупки по заказу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% заказов с полной карточкой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Обязательная привязка закупки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Перегрузка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Средняя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Высокий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Опоздания/переносы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Загрузка рабочей мощности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Сузить географию / перераспределить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Претензии клиентов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Средняя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Высокий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Повторяемые жалобы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Претензии на 100 заказов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Корректировать стандарт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Кассовый разрыв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Средняя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Высокий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Детали оплачиваются раньше поступлений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Остаток cash / 4 недели OPEX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Резерв и правила предоплаты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Юридические ошибки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Низкая/средняя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Высокий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Нет договора/информации/гарантии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% заказов с комплектом документов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Исправить процесс до масштабирования</w:t>
            </w:r>
          </w:p>
        </w:tc>
      </w:tr>
    </w:tbl>
    <w:p/>
    <w:p>
      <w:pPr>
        <w:pStyle w:val="Heading1"/>
      </w:pPr>
      <w:r>
        <w:t>Панель владельца — 12 показателей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835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Метрика</w:t>
            </w:r>
          </w:p>
        </w:tc>
        <w:tc>
          <w:tcPr>
            <w:tcW w:type="dxa" w:w="3969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Формула</w:t>
            </w:r>
          </w:p>
        </w:tc>
        <w:tc>
          <w:tcPr>
            <w:tcW w:type="dxa" w:w="2268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Частота</w:t>
            </w:r>
          </w:p>
        </w:tc>
        <w:tc>
          <w:tcPr>
            <w:tcW w:type="dxa" w:w="3969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Что решает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Лиды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Все уникальные обращения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день/неделя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Объем спроса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Конверсия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Заказы / лиды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неделя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Качество обработки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CAC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Реклама / оплаченные заказы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неделя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Эффективность маркетинга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Средний чек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Выручка / заказы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неделя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Микс работ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Детали / выручка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Закупка деталей / выручка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месяц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Материалоемкость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Мастер / работа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Выплаты / выручка за работу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месяц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Экономика команды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Маржа вклада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После прямых расходов / выручка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неделя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Здоровье заказа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Переделки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Повторные / заказы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неделя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Качество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Стоимость переделок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₽ гарантий / выручка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месяц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Скрытые потери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Загрузка мощности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Заказы / рабочая мощность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неделя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Нужен ли найм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Операционная маржа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Опер. прибыль / выручка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месяц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Жизнеспособность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Cash runway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Cash / недельные фиксированные расходы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неделя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Риск кассового разрыва</w:t>
            </w:r>
          </w:p>
        </w:tc>
      </w:tr>
    </w:tbl>
    <w:p/>
    <w:p>
      <w:pPr>
        <w:pStyle w:val="Heading1"/>
      </w:pPr>
      <w:r>
        <w:t>Порог эскалации</w:t>
      </w:r>
    </w:p>
    <w:p>
      <w:pPr>
        <w:pStyle w:val="ListBullet"/>
      </w:pPr>
      <w:r>
        <w:t>CAC растет &gt;20% два отчетных периода — остановить масштабирование канала;</w:t>
      </w:r>
    </w:p>
    <w:p>
      <w:pPr>
        <w:pStyle w:val="ListBullet"/>
      </w:pPr>
      <w:r>
        <w:t>доля переделок &gt;8% — обязательный разбор причин до роста рекламы;</w:t>
      </w:r>
    </w:p>
    <w:p>
      <w:pPr>
        <w:pStyle w:val="ListBullet"/>
      </w:pPr>
      <w:r>
        <w:t>загрузка &gt;100% рабочей мощности — не принимать план как устойчивый;</w:t>
      </w:r>
    </w:p>
    <w:p>
      <w:pPr>
        <w:pStyle w:val="ListBullet"/>
      </w:pPr>
      <w:r>
        <w:t>операционная маржа ниже внутреннего порога после оплаты владельца — RECHECK;</w:t>
      </w:r>
    </w:p>
    <w:p>
      <w:pPr>
        <w:pStyle w:val="ListBullet"/>
      </w:pPr>
      <w:r>
        <w:t>две и более красные метрики одновременно — STOP на расширение до исправления причин.</w:t>
      </w:r>
    </w:p>
    <w:sectPr w:rsidR="00FC693F" w:rsidRPr="0006063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Liberation Sans" w:hAnsi="Liberation 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1C263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B18A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erif" w:hAnsi="Liberation Serif"/>
      <w:b/>
      <w:color w:val="1C263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