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Операционный регламент сервиса ремонта бытовой техники</w:t>
      </w:r>
    </w:p>
    <w:p>
      <w:r>
        <w:rPr>
          <w:i/>
          <w:color w:val="666666"/>
          <w:sz w:val="20"/>
        </w:rPr>
        <w:t>Рабочая версия для выездного сервиса. Используйте как основу внутренних правил.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16"/>
              </w:rPr>
              <w:t>Цель регламента</w:t>
              <w:br/>
            </w:r>
            <w:r>
              <w:rPr>
                <w:rFonts w:ascii="Liberation Sans" w:hAnsi="Liberation Sans"/>
                <w:sz w:val="16"/>
              </w:rPr>
              <w:t>Сделать качество и экономику заказа повторяемыми: ни мастер, ни диспетчер не должны каждый раз «изобретать процесс».</w:t>
            </w:r>
          </w:p>
        </w:tc>
      </w:tr>
    </w:tbl>
    <w:p/>
    <w:p>
      <w:pPr>
        <w:pStyle w:val="Heading1"/>
      </w:pPr>
      <w:r>
        <w:t>1. 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5102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Ответственность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Что нельзя оставлять без владельца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Диспетчер / владелец</w:t>
            </w:r>
          </w:p>
        </w:tc>
        <w:tc>
          <w:tcPr>
            <w:tcW w:type="dxa" w:w="51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Принять лид, собрать данные, назначить мастера, подтвердить окно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Пропущенный лид, обещание цены без диагностики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Мастер</w:t>
            </w:r>
          </w:p>
        </w:tc>
        <w:tc>
          <w:tcPr>
            <w:tcW w:type="dxa" w:w="51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Диагностика, согласование, ремонт, фиксация результата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Цена «из головы», незаписанные детали, работа без согласия клиента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Закупка / снабжение</w:t>
            </w:r>
          </w:p>
        </w:tc>
        <w:tc>
          <w:tcPr>
            <w:tcW w:type="dxa" w:w="51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Поставщики, сроки, цены, возвраты деталей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Покупка без привязки к заказу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Контроль качества</w:t>
            </w:r>
          </w:p>
        </w:tc>
        <w:tc>
          <w:tcPr>
            <w:tcW w:type="dxa" w:w="51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Переделки, претензии, рейтинг, звонок после ремонта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Скрытая повторная работа мастера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Финансы</w:t>
            </w:r>
          </w:p>
        </w:tc>
        <w:tc>
          <w:tcPr>
            <w:tcW w:type="dxa" w:w="51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Выручка, детали, выплаты, CAC, вклад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Считать только оборот</w:t>
            </w:r>
          </w:p>
        </w:tc>
      </w:tr>
    </w:tbl>
    <w:p/>
    <w:p>
      <w:pPr>
        <w:pStyle w:val="Heading1"/>
      </w:pPr>
      <w:r>
        <w:t>2. Карточка заказа — обязательные поля</w:t>
      </w:r>
    </w:p>
    <w:p>
      <w:pPr>
        <w:pStyle w:val="ListBullet"/>
      </w:pPr>
      <w:r>
        <w:t>ID заказа и дата</w:t>
      </w:r>
    </w:p>
    <w:p>
      <w:pPr>
        <w:pStyle w:val="ListBullet"/>
      </w:pPr>
      <w:r>
        <w:t>источник лида</w:t>
      </w:r>
    </w:p>
    <w:p>
      <w:pPr>
        <w:pStyle w:val="ListBullet"/>
      </w:pPr>
      <w:r>
        <w:t>контакт и адрес</w:t>
      </w:r>
    </w:p>
    <w:p>
      <w:pPr>
        <w:pStyle w:val="ListBullet"/>
      </w:pPr>
      <w:r>
        <w:t>категория, бренд/модель техники</w:t>
      </w:r>
    </w:p>
    <w:p>
      <w:pPr>
        <w:pStyle w:val="ListBullet"/>
      </w:pPr>
      <w:r>
        <w:t>описание симптома со слов клиента</w:t>
      </w:r>
    </w:p>
    <w:p>
      <w:pPr>
        <w:pStyle w:val="ListBullet"/>
      </w:pPr>
      <w:r>
        <w:t>назначенный мастер и окно визита</w:t>
      </w:r>
    </w:p>
    <w:p>
      <w:pPr>
        <w:pStyle w:val="ListBullet"/>
      </w:pPr>
      <w:r>
        <w:t>диагноз</w:t>
      </w:r>
    </w:p>
    <w:p>
      <w:pPr>
        <w:pStyle w:val="ListBullet"/>
      </w:pPr>
      <w:r>
        <w:t>согласованная стоимость работ</w:t>
      </w:r>
    </w:p>
    <w:p>
      <w:pPr>
        <w:pStyle w:val="ListBullet"/>
      </w:pPr>
      <w:r>
        <w:t>детали: наименование, закупка, цена клиенту</w:t>
      </w:r>
    </w:p>
    <w:p>
      <w:pPr>
        <w:pStyle w:val="ListBullet"/>
      </w:pPr>
      <w:r>
        <w:t>итоговая сумма и способ оплаты</w:t>
      </w:r>
    </w:p>
    <w:p>
      <w:pPr>
        <w:pStyle w:val="ListBullet"/>
      </w:pPr>
      <w:r>
        <w:t>гарантийный срок/условия</w:t>
      </w:r>
    </w:p>
    <w:p>
      <w:pPr>
        <w:pStyle w:val="ListBullet"/>
      </w:pPr>
      <w:r>
        <w:t>результат, фото/комментарий</w:t>
      </w:r>
    </w:p>
    <w:p>
      <w:pPr>
        <w:pStyle w:val="ListBullet"/>
      </w:pPr>
      <w:r>
        <w:t>повторный выезд — да/нет и причина</w:t>
      </w:r>
    </w:p>
    <w:p>
      <w:pPr>
        <w:pStyle w:val="Heading1"/>
      </w:pPr>
      <w:r>
        <w:t>3. Стандарт от лида до закрытия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1984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5669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Контроль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1. Лид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Ответить, уточнить технику/симптом/адрес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Фиксировать источник и время ответа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2. Назначение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Выбрать компетентного мастера и окно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Не отправлять «любого свободного»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3. Диагностика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Определить неисправность и состав работ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До ремонта согласовать цену/диапазон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4. Деталь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Проверить наличие и закупочную цену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Привязать к заказу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5. Ремонт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Выполнить и протестировать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Не закрывать без проверки функции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6. Документы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Зафиксировать работу, сумму, гарантию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Клиент получает подтверждение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7. Закрытие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Оплата, статус, отзыв при уместности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Заказ попадает в экономику</w:t>
            </w:r>
          </w:p>
        </w:tc>
      </w:tr>
      <w:tr>
        <w:tc>
          <w:tcPr>
            <w:tcW w:type="dxa" w:w="1984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8. Гарантия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Повторный лид связан с исходным заказом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Считать стоимость переделки</w:t>
            </w:r>
          </w:p>
        </w:tc>
      </w:tr>
    </w:tbl>
    <w:p/>
    <w:p>
      <w:pPr>
        <w:pStyle w:val="Heading1"/>
      </w:pPr>
      <w:r>
        <w:t>4. Правила цены</w:t>
      </w:r>
    </w:p>
    <w:p>
      <w:pPr>
        <w:pStyle w:val="ListBullet"/>
      </w:pPr>
      <w:r>
        <w:t>не обещать точную стоимость сложного ремонта до диагностики, если она объективно неизвестна;</w:t>
      </w:r>
    </w:p>
    <w:p>
      <w:pPr>
        <w:pStyle w:val="ListBullet"/>
      </w:pPr>
      <w:r>
        <w:t>отдельно определить платность диагностики при отказе от ремонта;</w:t>
      </w:r>
    </w:p>
    <w:p>
      <w:pPr>
        <w:pStyle w:val="ListBullet"/>
      </w:pPr>
      <w:r>
        <w:t>дополнительные работы — только после согласования;</w:t>
      </w:r>
    </w:p>
    <w:p>
      <w:pPr>
        <w:pStyle w:val="ListBullet"/>
      </w:pPr>
      <w:r>
        <w:t>в прайсе разделять работу и детали, если это соответствует выбранной модели;</w:t>
      </w:r>
    </w:p>
    <w:p>
      <w:pPr>
        <w:pStyle w:val="ListBullet"/>
      </w:pPr>
      <w:r>
        <w:t>любая скидка фиксируется как решение сервиса, а не мастера «на месте».</w:t>
      </w:r>
    </w:p>
    <w:p>
      <w:pPr>
        <w:pStyle w:val="Heading1"/>
      </w:pPr>
      <w:r>
        <w:t>5. Контроль мастеров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Метрика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Еженедельно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Тревожный сигнал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Конверсия назначенных выездов в оплату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 мастеру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Сильно ниже медианы команды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Средний чек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 категориям техники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Резкие выбросы без объяснения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Переделки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Количество и ₽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Рост повторных бесплатных выездов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Отзывы / претензии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Причина и мастер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Повторяемые жалобы на цену/общение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Детали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Закупка на заказ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Несопоставимые цены / отсутствие документов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Доля отмен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Причина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Опоздания, переносы, нет деталей</w:t>
            </w:r>
          </w:p>
        </w:tc>
      </w:tr>
    </w:tbl>
    <w:p/>
    <w:p>
      <w:pPr>
        <w:pStyle w:val="Heading1"/>
      </w:pPr>
      <w:r>
        <w:t>6. Склад и поставщики</w:t>
      </w:r>
    </w:p>
    <w:p>
      <w:pPr>
        <w:pStyle w:val="ListNumber"/>
      </w:pPr>
      <w:r>
        <w:t>На каждую покупку — заказ или пополнение утвержденной ходовой позиции.</w:t>
      </w:r>
    </w:p>
    <w:p>
      <w:pPr>
        <w:pStyle w:val="ListNumber"/>
      </w:pPr>
      <w:r>
        <w:t>Раз в месяц — ABC-анализ использованных деталей.</w:t>
      </w:r>
    </w:p>
    <w:p>
      <w:pPr>
        <w:pStyle w:val="ListNumber"/>
      </w:pPr>
      <w:r>
        <w:t>Минимум два поставщика по ключевым группам.</w:t>
      </w:r>
    </w:p>
    <w:p>
      <w:pPr>
        <w:pStyle w:val="ListNumber"/>
      </w:pPr>
      <w:r>
        <w:t>Редкие детали — не закупать «на всякий случай».</w:t>
      </w:r>
    </w:p>
    <w:p>
      <w:pPr>
        <w:pStyle w:val="ListNumber"/>
      </w:pPr>
      <w:r>
        <w:t>Возвраты и брак деталей учитывать отдельным статусом.</w:t>
      </w:r>
    </w:p>
    <w:p>
      <w:pPr>
        <w:pStyle w:val="Heading1"/>
      </w:pPr>
      <w:r>
        <w:t>7. Гарантийный инцидент</w:t>
      </w:r>
    </w:p>
    <w:p>
      <w:pPr>
        <w:pStyle w:val="ListNumber"/>
      </w:pPr>
      <w:r>
        <w:t>Связать обращение с исходным заказом.</w:t>
      </w:r>
    </w:p>
    <w:p>
      <w:pPr>
        <w:pStyle w:val="ListNumber"/>
      </w:pPr>
      <w:r>
        <w:t>Определить: дефект работы, детали, новая неисправность или эксплуатационный вопрос.</w:t>
      </w:r>
    </w:p>
    <w:p>
      <w:pPr>
        <w:pStyle w:val="ListNumber"/>
      </w:pPr>
      <w:r>
        <w:t>Зафиксировать бесплатный труд, дорогу и новую деталь.</w:t>
      </w:r>
    </w:p>
    <w:p>
      <w:pPr>
        <w:pStyle w:val="ListNumber"/>
      </w:pPr>
      <w:r>
        <w:t>После закрытия пересчитать вклад исходного заказа.</w:t>
      </w:r>
    </w:p>
    <w:p>
      <w:pPr>
        <w:pStyle w:val="ListNumber"/>
      </w:pPr>
      <w:r>
        <w:t>Если причина повторяется — изменить стандарт диагностики или список поставщиков.</w:t>
      </w:r>
    </w:p>
    <w:p>
      <w:pPr>
        <w:pStyle w:val="Heading1"/>
      </w:pPr>
      <w:r>
        <w:t>8. Еженедельный управленческий отчет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Показатель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Что видеть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/>
                <w:color w:val="FFFFFF"/>
                <w:sz w:val="16"/>
              </w:rPr>
              <w:t>Решение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Лиды / заказы / конверсия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 каналам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Куда направлять бюджет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CAC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 оплаченной заявке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Отключить неэффективный канал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Вклад на заказ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По категории и мастеру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Менять цену/микс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Переделки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% и ₽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Обучение/контроль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Мощность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План / доступные часы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Нанимать только при подтвержденной загрузке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Cash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Остаток и обязательства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rFonts w:ascii="Liberation Sans" w:hAnsi="Liberation Sans"/>
                <w:b w:val="0"/>
                <w:sz w:val="16"/>
              </w:rPr>
              <w:t>Не замораживать деньги в складе</w:t>
            </w:r>
          </w:p>
        </w:tc>
      </w:tr>
    </w:tbl>
    <w:p/>
    <w:sectPr w:rsidR="00FC693F" w:rsidRPr="0006063C" w:rsidSect="00034616">
      <w:pgSz w:w="12240" w:h="15840"/>
      <w:pgMar w:top="709" w:right="964" w:bottom="70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C26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B18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C26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