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Ремонт бытовой техники как бизнес — 2026</w:t>
      </w:r>
    </w:p>
    <w:p>
      <w:r>
        <w:rPr>
          <w:i/>
          <w:color w:val="666666"/>
          <w:sz w:val="20"/>
        </w:rPr>
        <w:t>Профессиональный разбор бизнес-модели для проекта «Бизнес под микроскопом». Актуально на 23.08.2026.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E7B5"/>
          </w:tcPr>
          <w:p>
            <w:r>
              <w:rPr>
                <w:rFonts w:ascii="Liberation Sans" w:hAnsi="Liberation Sans"/>
                <w:b/>
                <w:sz w:val="21"/>
              </w:rPr>
              <w:t>Вердикт: 🟡 RECHECK</w:t>
              <w:br/>
            </w:r>
            <w:r>
              <w:rPr>
                <w:rFonts w:ascii="Liberation Sans" w:hAnsi="Liberation Sans"/>
                <w:sz w:val="20"/>
              </w:rPr>
              <w:t>Модель имеет устойчивую потребность, но не прощает слабого контроля качества и загрузки. Начинать разумнее с 30-дневного теста выездного сервиса по 3–4 категориям техники. Помещение, большой склад деталей и расширение команды — после подтверждения экономики.</w:t>
            </w:r>
          </w:p>
        </w:tc>
      </w:tr>
    </w:tbl>
    <w:p/>
    <w:p>
      <w:pPr>
        <w:pStyle w:val="Heading1"/>
      </w:pPr>
      <w:r>
        <w:t>1. Как пользоваться комплектом</w:t>
      </w:r>
    </w:p>
    <w:p>
      <w:r>
        <w:t>Этот документ объясняет бизнес-модель. Экономику считайте в finansovaya-model-servisa-remonta-bytovoy-tehniki-2026.xlsx. Операционные правила берите из operacionnyy-reglament-servisa-remonta-bytovoy-tehniki.docx. Полевой тест ведите по 30-dnevnyy-test-servisa-remonta-bytovoy-tehniki.docx. Риски и контрольные метрики — в karta-riskov-i-kontrolnyh-metrik-remonta.docx.</w:t>
      </w:r>
    </w:p>
    <w:p>
      <w:pPr>
        <w:pStyle w:val="ListNumber"/>
      </w:pPr>
      <w:r>
        <w:t>Сначала прочитайте разделы 2–7 и выберите формат: мастер-собственник, выездной сервис или сервис с мастерской.</w:t>
      </w:r>
    </w:p>
    <w:p>
      <w:pPr>
        <w:pStyle w:val="ListNumber"/>
      </w:pPr>
      <w:r>
        <w:t>Замените сценарные вводы в финансовой модели на данные своего города: лиды, конверсию, чек, детали, выплаты мастерам и рекламу.</w:t>
      </w:r>
    </w:p>
    <w:p>
      <w:pPr>
        <w:pStyle w:val="ListNumber"/>
      </w:pPr>
      <w:r>
        <w:t>Проведите 30-дневный тест без дорогой мастерской и большого склада.</w:t>
      </w:r>
    </w:p>
    <w:p>
      <w:pPr>
        <w:pStyle w:val="ListNumber"/>
      </w:pPr>
      <w:r>
        <w:t>Сравните фактический CAC, маржу вклада, долю переделок и загрузку мастеров с порогами модели.</w:t>
      </w:r>
    </w:p>
    <w:p>
      <w:pPr>
        <w:pStyle w:val="ListNumber"/>
      </w:pPr>
      <w:r>
        <w:t>Только после этого принимайте решение GO / RECHECK / STOP.</w:t>
      </w:r>
    </w:p>
    <w:p>
      <w:pPr>
        <w:pStyle w:val="Heading1"/>
      </w:pPr>
      <w:r>
        <w:t>2. Что именно продаёт сервис</w:t>
      </w:r>
    </w:p>
    <w:p>
      <w:r>
        <w:t>Клиент покупает не «ремонт как процесс», а восстановление работающей техники с понятными сроками, согласованной ценой и ответственностью за результат. Для крупной бытовой техники ценность особенно высока: технику неудобно перевозить, поломка мешает повседневной жизни, а самостоятельная диагностика обычно невозможна.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21"/>
              </w:rPr>
              <w:t>Ключевой вывод</w:t>
              <w:br/>
            </w:r>
            <w:r>
              <w:rPr>
                <w:rFonts w:ascii="Liberation Sans" w:hAnsi="Liberation Sans"/>
                <w:sz w:val="20"/>
              </w:rPr>
              <w:t>Спрос на ремонт сам по себе не делает сервис прибыльным. Финансовый результат определяется тем, сколько денег остаётся после рекламы, деталей, выплаты мастеру, логистики, налога и гарантийных переделок.</w:t>
            </w:r>
          </w:p>
        </w:tc>
      </w:tr>
    </w:tbl>
    <w:p/>
    <w:p>
      <w:pPr>
        <w:pStyle w:val="Heading1"/>
      </w:pPr>
      <w:r>
        <w:t>3. Что подтверждает рынок в 2026 году</w:t>
      </w:r>
    </w:p>
    <w:p>
      <w:r>
        <w:t>Ведомости со ссылкой на аналитику «Точка банка» сообщили 15 июня 2026 года: обороты предпринимателей в категории ремонта бытовых приборов и садового инвентаря за три года выросли на 51%, число предпринимателей — на 13%. Это рост оборотов категории, а не прямой показатель физического количества ремонтов.</w:t>
      </w:r>
    </w:p>
    <w:p>
      <w:r>
        <w:t>По исследованию Авито, опубликованному в марте 2026 года, бытовую технику в среднем обновляют примерно раз в четыре года, а наиболее частой причиной замены является поломка. Это поддерживает тезис, что ремонт конкурирует не только с другими сервисами, но и с решением «купить новую технику».</w:t>
      </w:r>
    </w:p>
    <w:p>
      <w:r>
        <w:t>Росстат показывает, что в I полугодии 2026 года производство бытовых холодильников и морозильников было выше уровня годом ранее, а выпуск стиральных машин — близок к прошлогоднему уровню. Эти цифры не доказывают спрос на ремонт, но показывают, что установленный парк техники продолжает обновляться и расширяться.</w:t>
      </w:r>
    </w:p>
    <w:p>
      <w:pPr>
        <w:pStyle w:val="Heading1"/>
      </w:pPr>
      <w:r>
        <w:t>4. Кому продавать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Сегмент</w:t>
            </w:r>
          </w:p>
        </w:tc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Потребность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Почему интересен</w:t>
            </w:r>
          </w:p>
        </w:tc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Риск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B2C: семьи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Быстро вернуть технику в работу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Большой локальный рынок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Высокая чувствительность к доверию и отзывам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Арендодатели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Один подрядчик для квартир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Повторные обращения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Требуют скорости и документов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Апартаменты / мини-отели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Снижение простоя техники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Потенциальный B2B-поток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Может потребоваться SLA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Кафе / малый бизнес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Ремонт бытового оборудования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Повторяемость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Часть оборудования уже относится к профсегменту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УК / управляющие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Регулярные обращения по объектам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Меньше зависимость от рекламы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Длиннее согласование</w:t>
            </w:r>
          </w:p>
        </w:tc>
      </w:tr>
    </w:tbl>
    <w:p/>
    <w:p>
      <w:pPr>
        <w:pStyle w:val="Heading1"/>
      </w:pPr>
      <w:r>
        <w:t>5. Что ремонтировать на старте</w:t>
      </w:r>
    </w:p>
    <w:p>
      <w:r>
        <w:t>Сильнее работает не обещание «ремонтируем всё», а ограниченный список категорий с понятными типовыми поломками, инструментом и поставщиками деталей.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Стартовый приоритет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Почему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Стиральные машины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Много выездных работ, типовые узлы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Нужна статистика моделей и деталей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Посудомоечные машины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Похожая логика диагностики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Проверять доступ к узлам на месте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Холодильники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Средний/высокий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Высокая ценность восстановления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Требуется отдельная компетенция по холодильному контуру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Духовые шкафы / панели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Часть ремонтов удобна на месте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Нужны правила электробезопасности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Кофемашины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Отдельная специализация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Повторное обслуживание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 смешивать без компетентного мастера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21"/>
              </w:rPr>
              <w:t>Не включать автоматически</w:t>
              <w:br/>
            </w:r>
            <w:r>
              <w:rPr>
                <w:rFonts w:ascii="Liberation Sans" w:hAnsi="Liberation Sans"/>
                <w:sz w:val="20"/>
              </w:rPr>
              <w:t>Кондиционеры и профессиональное оборудование могут давать хороший спрос, но это отдельные технические и сезонные направления. Их лучше считать отдельной продуктовой линией, а не «ещё одной услугой».</w:t>
            </w:r>
          </w:p>
        </w:tc>
      </w:tr>
    </w:tbl>
    <w:p/>
    <w:p>
      <w:pPr>
        <w:pStyle w:val="Heading1"/>
      </w:pPr>
      <w:r>
        <w:t>6. Три формата запуска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5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Формат</w:t>
            </w:r>
          </w:p>
        </w:tc>
        <w:tc>
          <w:tcPr>
            <w:tcW w:type="dxa" w:w="311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Когда подходит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Плюсы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Ограничение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Мастер-собственник</w:t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Проверка спроса и личной компетенции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Минимум фиксированных расходов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Потолок выручки = время одного человека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Выездной сервис 3–5 мастеров</w:t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Есть поток заявок и диспетчеризация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Масштабируемее, можно специализировать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Контроль качества и клиентов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Мастерская</w:t>
            </w:r>
          </w:p>
        </w:tc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Есть статистика работ, требующих приёмки техники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Удобны сложные ремонты и хранение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Аренда и склад до спроса ухудшают экономику</w:t>
            </w:r>
          </w:p>
        </w:tc>
      </w:tr>
    </w:tbl>
    <w:p/>
    <w:p>
      <w:r>
        <w:t>Базовая модель комплекта построена для выездного сервиса. Она специально включает стоимость труда собственника/диспетчера, чтобы не показывать «прибыль», которая на деле является неоплаченной работой владельца.</w:t>
      </w:r>
    </w:p>
    <w:p>
      <w:pPr>
        <w:pStyle w:val="Heading1"/>
      </w:pPr>
      <w:r>
        <w:t>7. Экономика базового сценария</w:t>
      </w:r>
    </w:p>
    <w:p>
      <w:r>
        <w:t>Сценарные вводы сохранены близкими к прежней версии материала, чтобы сравнение было прозрачным. Они не являются «средними по России» и должны быть заменены фактическими данными.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Базовый сценарий</w:t>
            </w:r>
          </w:p>
        </w:tc>
        <w:tc>
          <w:tcPr>
            <w:tcW w:type="dxa" w:w="56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Смысл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Лиды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220 / мес.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Все уникальные обращения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Конверсия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65%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Оплаченный ремонт / лиды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Оплаченные заказы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143 / мес.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Расчет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 чек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5 500 ₽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Работа + детали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Выручка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786 500 ₽ / мес.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Сценарная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Операционная прибыль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≈ 76 000 ₽ / мес.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После деталей, мастеров, рекламы, OPEX, налога и стоимости труда владельца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Операционная маржа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≈ 9,7%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Ниже внутреннего порога 10%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Точка безубыточности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≈ 103 заказа / мес.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При текущем вкладе на заказ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Стартовый бюджет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505 000 ₽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Сценарная комплектация</w:t>
            </w:r>
          </w:p>
        </w:tc>
      </w:tr>
      <w:tr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Вердикт модели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RECHECK</w:t>
            </w:r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База слишком тонкая для автоматического GO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E7B5"/>
          </w:tcPr>
          <w:p>
            <w:r>
              <w:rPr>
                <w:rFonts w:ascii="Liberation Sans" w:hAnsi="Liberation Sans"/>
                <w:b/>
                <w:sz w:val="21"/>
              </w:rPr>
              <w:t>Новая проверка мощности</w:t>
              <w:br/>
            </w:r>
            <w:r>
              <w:rPr>
                <w:rFonts w:ascii="Liberation Sans" w:hAnsi="Liberation Sans"/>
                <w:sz w:val="20"/>
              </w:rPr>
              <w:t>Если один заказ с дорогой занимает около 3 часов, 4 активных мастера при 20 рабочих днях и 6,5 чистых часах в день дают рабочую мощность примерно 147 заказов в месяц с 15% резервом. План 143 заказа использует около 97% этой рабочей мощности. Значит, базовый сценарий почти упирается в производственный потолок и требует дисциплины расписания.</w:t>
            </w:r>
          </w:p>
        </w:tc>
      </w:tr>
    </w:tbl>
    <w:p/>
    <w:p>
      <w:pPr>
        <w:pStyle w:val="Heading1"/>
      </w:pPr>
      <w:r>
        <w:t>8. Где теряется прибыль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Утечка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Как проявляется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Что считать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Дорогой маркетинг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Лиды есть, денег нет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 именно оплаченного заказа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Низкая конверсия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Медленный ответ, нет мастера, отказ после диагностики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Лид → оплаченный ремонт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Переделки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Бесплатный повторный выезд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Доля и стоимость гарантий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Детали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Нет привязки закупки к заказу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Закупка, наценка, списание по заказу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Мастер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Неясная схема выплат / уведенные клиенты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Выплата и маржа по мастеру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Логистика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Слишком широкая география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Часы и ₽ на один оплаченный заказ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Бесплатный труд владельца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Прибыль есть только без зарплаты собственника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Рыночная стоимость функции диспетчера/управляющего</w:t>
            </w:r>
          </w:p>
        </w:tc>
      </w:tr>
    </w:tbl>
    <w:p/>
    <w:p>
      <w:pPr>
        <w:pStyle w:val="Heading1"/>
      </w:pPr>
      <w:r>
        <w:t>9. Мастера: главный актив и главный риск</w:t>
      </w:r>
    </w:p>
    <w:p>
      <w:pPr>
        <w:pStyle w:val="ListBullet"/>
      </w:pPr>
      <w:r>
        <w:t>единая схема диагностики и согласования цены до дополнительных работ;</w:t>
      </w:r>
    </w:p>
    <w:p>
      <w:pPr>
        <w:pStyle w:val="ListBullet"/>
      </w:pPr>
      <w:r>
        <w:t>карточка каждого заказа: источник, техника, неисправность, мастер, детали, цена, фото/комментарий, результат;</w:t>
      </w:r>
    </w:p>
    <w:p>
      <w:pPr>
        <w:pStyle w:val="ListBullet"/>
      </w:pPr>
      <w:r>
        <w:t>единая гарантийная политика и журнал повторных обращений;</w:t>
      </w:r>
    </w:p>
    <w:p>
      <w:pPr>
        <w:pStyle w:val="ListBullet"/>
      </w:pPr>
      <w:r>
        <w:t>контроль отзывов и претензий по конкретному мастеру;</w:t>
      </w:r>
    </w:p>
    <w:p>
      <w:pPr>
        <w:pStyle w:val="ListBullet"/>
      </w:pPr>
      <w:r>
        <w:t>запрет на навязывание ненужных работ и непрозрачную продажу деталей;</w:t>
      </w:r>
    </w:p>
    <w:p>
      <w:pPr>
        <w:pStyle w:val="ListBullet"/>
      </w:pPr>
      <w:r>
        <w:t>минимум два взаимозаменяемых специалиста по ключевым категориям.</w:t>
      </w:r>
    </w:p>
    <w:p>
      <w:pPr>
        <w:pStyle w:val="Heading1"/>
      </w:pPr>
      <w:r>
        <w:t>10. Запчасти: система вместо склада</w:t>
      </w:r>
    </w:p>
    <w:p>
      <w:pPr>
        <w:pStyle w:val="ListNumber"/>
      </w:pPr>
      <w:r>
        <w:t>Выбрать 3–4 категории техники и фиксировать модель/узел каждого оплаченного ремонта.</w:t>
      </w:r>
    </w:p>
    <w:p>
      <w:pPr>
        <w:pStyle w:val="ListNumber"/>
      </w:pPr>
      <w:r>
        <w:t>За 30–60 дней собрать реальную ABC-статистику деталей.</w:t>
      </w:r>
    </w:p>
    <w:p>
      <w:pPr>
        <w:pStyle w:val="ListNumber"/>
      </w:pPr>
      <w:r>
        <w:t>Ходовые позиции держать минимальным запасом; редкие — покупать под заказ.</w:t>
      </w:r>
    </w:p>
    <w:p>
      <w:pPr>
        <w:pStyle w:val="ListNumber"/>
      </w:pPr>
      <w:r>
        <w:t>Иметь минимум двух поставщиков на критичные группы.</w:t>
      </w:r>
    </w:p>
    <w:p>
      <w:pPr>
        <w:pStyle w:val="ListNumber"/>
      </w:pPr>
      <w:r>
        <w:t>Каждую закупку привязывать к заказу и считать фактический валовой вклад.</w:t>
      </w:r>
    </w:p>
    <w:p>
      <w:pPr>
        <w:pStyle w:val="ListNumber"/>
      </w:pPr>
      <w:r>
        <w:t>Не смешивать закупку «на склад» с расходом конкретного заказа.</w:t>
      </w:r>
    </w:p>
    <w:p>
      <w:r>
        <w:t>С 1 марта 2027 года вступит в силу Федеральный закон №266-ФЗ: изготовители должны будут предоставлять организациям и ИП, занимающимся ремонтом и обслуживанием, необходимую техническую документацию в порядке, сроках и составе, которые установит Правительство. На 23 августа 2026 года это будущая норма, а не уже действующая обязанность.</w:t>
      </w:r>
    </w:p>
    <w:p>
      <w:pPr>
        <w:pStyle w:val="Heading1"/>
      </w:pPr>
      <w:r>
        <w:t>11. Клиентские документы и налоговая конструкция</w:t>
      </w:r>
    </w:p>
    <w:p>
      <w:r>
        <w:t>При работе с физлицами сервис попадает в контур законодательства о защите прав потребителей и Правил бытового обслуживания населения. На дату актуализации правила, утвержденные постановлением №1514, действуют до 1 января 2027 года, поэтому при запуске в 2027 году нужно перепроверить заменяющий нормативный акт.</w:t>
      </w:r>
    </w:p>
    <w:p>
      <w:pPr>
        <w:pStyle w:val="ListBullet"/>
      </w:pPr>
      <w:r>
        <w:t>до заказа клиент должен понимать перечень и цену работ либо порядок ее определения;</w:t>
      </w:r>
    </w:p>
    <w:p>
      <w:pPr>
        <w:pStyle w:val="ListBullet"/>
      </w:pPr>
      <w:r>
        <w:t>фиксируйте сроки и данные исполнителя;</w:t>
      </w:r>
    </w:p>
    <w:p>
      <w:pPr>
        <w:pStyle w:val="ListBullet"/>
      </w:pPr>
      <w:r>
        <w:t>выдавайте экземпляр договора/заказа в предусмотренном формате;</w:t>
      </w:r>
    </w:p>
    <w:p>
      <w:pPr>
        <w:pStyle w:val="ListBullet"/>
      </w:pPr>
      <w:r>
        <w:t>фиксируйте состояние принятой техники и комплектность, если устройство забирается;</w:t>
      </w:r>
    </w:p>
    <w:p>
      <w:pPr>
        <w:pStyle w:val="ListBullet"/>
      </w:pPr>
      <w:r>
        <w:t>пропишите гарантию на работу и порядок рассмотрения претензий;</w:t>
      </w:r>
    </w:p>
    <w:p>
      <w:pPr>
        <w:pStyle w:val="ListBullet"/>
      </w:pPr>
      <w:r>
        <w:t>не используйте НПД как «универсальную схему» сервиса с командой: режим подходит только при соблюдении ограничений, включая отсутствие наемных работников и лимит дохода 2,4 млн ₽ в год.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21"/>
              </w:rPr>
              <w:t>Юридическая оговорка</w:t>
              <w:br/>
            </w:r>
            <w:r>
              <w:rPr>
                <w:rFonts w:ascii="Liberation Sans" w:hAnsi="Liberation Sans"/>
                <w:sz w:val="20"/>
              </w:rPr>
              <w:t>Материал информационный. Налоговый режим, кассу, договоры, обработку персональных данных и требования бытового обслуживания нужно проверять под конкретный формат сервиса на дату запуска.</w:t>
            </w:r>
          </w:p>
        </w:tc>
      </w:tr>
    </w:tbl>
    <w:p/>
    <w:p>
      <w:pPr>
        <w:pStyle w:val="Heading1"/>
      </w:pPr>
      <w:r>
        <w:t>12. Каналы продаж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Канал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Для чего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Главная метрика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Карты / геосервисы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Локальный срочный спрос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Звонок → оплаченный ремонт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Классифайды / услуги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Сравнение мастеров и отзывов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 по заказу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Поиск по поломке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Горячий спрос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Стоимость оплаченного ремонта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Сайт / локальные страницы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Контроль оффера и аналитики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Конверсия страницы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Рекомендации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Доверие и низкий CAC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Доля заказов по рекомендации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B2B-партнеры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Повторяемые объекты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Выручка и маржа на партнера</w:t>
            </w:r>
          </w:p>
        </w:tc>
      </w:tr>
    </w:tbl>
    <w:p/>
    <w:p>
      <w:r>
        <w:t>Не оптимизируйте маркетинг по цене клика. В финансовой модели CAC рассчитывается как рекламные расходы / оплаченные ремонты.</w:t>
      </w:r>
    </w:p>
    <w:p>
      <w:pPr>
        <w:pStyle w:val="Heading1"/>
      </w:pPr>
      <w:r>
        <w:t>13. 30-дневный тест до масштабирования</w:t>
      </w:r>
    </w:p>
    <w:p>
      <w:pPr>
        <w:pStyle w:val="ListNumber"/>
      </w:pPr>
      <w:r>
        <w:t>Выбрать один район/кластер и 3–4 категории техники.</w:t>
      </w:r>
    </w:p>
    <w:p>
      <w:pPr>
        <w:pStyle w:val="ListNumber"/>
      </w:pPr>
      <w:r>
        <w:t>Подключить 2–4 мастеров с понятной зоной ответственности.</w:t>
      </w:r>
    </w:p>
    <w:p>
      <w:pPr>
        <w:pStyle w:val="ListNumber"/>
      </w:pPr>
      <w:r>
        <w:t>Запустить ограниченный бюджет на 2–3 канала.</w:t>
      </w:r>
    </w:p>
    <w:p>
      <w:pPr>
        <w:pStyle w:val="ListNumber"/>
      </w:pPr>
      <w:r>
        <w:t>Записывать 100% лидов и причины отказа.</w:t>
      </w:r>
    </w:p>
    <w:p>
      <w:pPr>
        <w:pStyle w:val="ListNumber"/>
      </w:pPr>
      <w:r>
        <w:t>Считать фактические детали, выплату мастеру, дорогу и гарантийные переделки по каждому заказу.</w:t>
      </w:r>
    </w:p>
    <w:p>
      <w:pPr>
        <w:pStyle w:val="ListNumber"/>
      </w:pPr>
      <w:r>
        <w:t>На 30-й день принять решение по пяти метрикам: конверсия, CAC, средний чек, доля переделок, маржа вклада.</w:t>
      </w:r>
    </w:p>
    <w:p>
      <w:r>
        <w:t>Готовая форма теста находится в 30-dnevnyy-test-servisa-remonta-bytovoy-tehniki.docx.</w:t>
      </w:r>
    </w:p>
    <w:p>
      <w:pPr>
        <w:pStyle w:val="Heading1"/>
      </w:pPr>
      <w:r>
        <w:t>14. Когда масштабировать</w:t>
      </w:r>
    </w:p>
    <w:p>
      <w:pPr>
        <w:pStyle w:val="ListBullet"/>
      </w:pPr>
      <w:r>
        <w:t>базовый сценарий выдерживает небольшое ухудшение конверсии и чека;</w:t>
      </w:r>
    </w:p>
    <w:p>
      <w:pPr>
        <w:pStyle w:val="ListBullet"/>
      </w:pPr>
      <w:r>
        <w:t>операционная маржа после оплаты собственника/администрации достигает принятого внутреннего порога;</w:t>
      </w:r>
    </w:p>
    <w:p>
      <w:pPr>
        <w:pStyle w:val="ListBullet"/>
      </w:pPr>
      <w:r>
        <w:t>заказы не превышают рабочую мощность мастеров;</w:t>
      </w:r>
    </w:p>
    <w:p>
      <w:pPr>
        <w:pStyle w:val="ListBullet"/>
      </w:pPr>
      <w:r>
        <w:t>доля гарантийных переделок контролируется;</w:t>
      </w:r>
    </w:p>
    <w:p>
      <w:pPr>
        <w:pStyle w:val="ListBullet"/>
      </w:pPr>
      <w:r>
        <w:t>CAC известен по каждому каналу;</w:t>
      </w:r>
    </w:p>
    <w:p>
      <w:pPr>
        <w:pStyle w:val="ListBullet"/>
      </w:pPr>
      <w:r>
        <w:t>есть система деталей и минимум два поставщика;</w:t>
      </w:r>
    </w:p>
    <w:p>
      <w:pPr>
        <w:pStyle w:val="ListBullet"/>
      </w:pPr>
      <w:r>
        <w:t>клиентские документы и гарантийная политика стандартизированы;</w:t>
      </w:r>
    </w:p>
    <w:p>
      <w:pPr>
        <w:pStyle w:val="ListBullet"/>
      </w:pPr>
      <w:r>
        <w:t>денежного резерва хватает до стабилизации загрузки.</w:t>
      </w:r>
    </w:p>
    <w:p>
      <w:pPr>
        <w:pStyle w:val="Heading1"/>
      </w:pPr>
      <w:r>
        <w:t>15. Итоговое решение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E7B5"/>
          </w:tcPr>
          <w:p>
            <w:r>
              <w:rPr>
                <w:rFonts w:ascii="Liberation Sans" w:hAnsi="Liberation Sans"/>
                <w:b/>
                <w:sz w:val="21"/>
              </w:rPr>
              <w:t>🟡 RECHECK</w:t>
              <w:br/>
            </w:r>
            <w:r>
              <w:rPr>
                <w:rFonts w:ascii="Liberation Sans" w:hAnsi="Liberation Sans"/>
                <w:sz w:val="20"/>
              </w:rPr>
              <w:t>Рынок подтверждает устойчивую потребность, а модель позволяет начать без капиталоемкой точки. Но базовая экономика дает около 9,7% операционной маржи и почти полностью использует рабочую мощность четырех мастеров. Поэтому правильный следующий шаг — не мастерская, а 30-дневный полевой тест. GO возможен только после замены сценарных цифр фактическими и подтверждения качества.</w:t>
            </w:r>
          </w:p>
        </w:tc>
      </w:tr>
    </w:tbl>
    <w:p/>
    <w:p>
      <w:pPr>
        <w:pStyle w:val="Heading1"/>
      </w:pPr>
      <w:r>
        <w:t>Источники и правовые ориентиры</w:t>
      </w:r>
    </w:p>
    <w:p>
      <w:pPr>
        <w:spacing w:after="20" w:line="240" w:lineRule="auto"/>
      </w:pPr>
      <w:r>
        <w:rPr>
          <w:sz w:val="15"/>
        </w:rPr>
        <w:t>Актуальность проверена на 23 августа 2026 года. Рыночные данные используются как сигналы и не являются прогнозом доходности конкретного сервиса.</w:t>
      </w:r>
    </w:p>
    <w:p>
      <w:pPr>
        <w:spacing w:after="20" w:line="240" w:lineRule="auto"/>
      </w:pPr>
      <w:r>
        <w:rPr>
          <w:b/>
          <w:sz w:val="15"/>
        </w:rPr>
        <w:t xml:space="preserve">Ведомости / аналитика Точка банка, 15.06.2026: </w:t>
      </w:r>
      <w:r>
        <w:rPr>
          <w:sz w:val="15"/>
        </w:rPr>
        <w:t>https://www.vedomosti.ru/technology/news/2026/06/15/1205859-spros-na-remont</w:t>
      </w:r>
    </w:p>
    <w:p>
      <w:pPr>
        <w:spacing w:after="20" w:line="240" w:lineRule="auto"/>
      </w:pPr>
      <w:r>
        <w:rPr>
          <w:b/>
          <w:sz w:val="15"/>
        </w:rPr>
        <w:t xml:space="preserve">Авито / CNews, 16.03.2026: </w:t>
      </w:r>
      <w:r>
        <w:rPr>
          <w:sz w:val="15"/>
        </w:rPr>
        <w:t>https://www.cnews.ru/news/line/2026-03-16_avito_zhiteli_rossii_potratyat</w:t>
      </w:r>
    </w:p>
    <w:p>
      <w:pPr>
        <w:spacing w:after="20" w:line="240" w:lineRule="auto"/>
      </w:pPr>
      <w:r>
        <w:rPr>
          <w:b/>
          <w:sz w:val="15"/>
        </w:rPr>
        <w:t xml:space="preserve">ФНС — НПД, обновлено 25.06.2026: </w:t>
      </w:r>
      <w:r>
        <w:rPr>
          <w:sz w:val="15"/>
        </w:rPr>
        <w:t>https://www.nalog.gov.ru/rn77/taxation/taxes/vibor_sn/go_to_npd/</w:t>
      </w:r>
    </w:p>
    <w:p>
      <w:pPr>
        <w:spacing w:after="20" w:line="240" w:lineRule="auto"/>
      </w:pPr>
      <w:r>
        <w:rPr>
          <w:b/>
          <w:sz w:val="15"/>
        </w:rPr>
        <w:t xml:space="preserve">Роспотребнадзор — бытовые услуги: </w:t>
      </w:r>
      <w:r>
        <w:rPr>
          <w:sz w:val="15"/>
        </w:rPr>
        <w:t>https://zpp.rospotrebnadzor.ru/news/federal/536006</w:t>
      </w:r>
    </w:p>
    <w:p>
      <w:pPr>
        <w:spacing w:after="20" w:line="240" w:lineRule="auto"/>
      </w:pPr>
      <w:r>
        <w:rPr>
          <w:b/>
          <w:sz w:val="15"/>
        </w:rPr>
        <w:t xml:space="preserve">Постановление Правительства РФ №1514: </w:t>
      </w:r>
      <w:r>
        <w:rPr>
          <w:sz w:val="15"/>
        </w:rPr>
        <w:t>https://www.consultant.ru/document/cons_doc_LAW_363382/</w:t>
      </w:r>
    </w:p>
    <w:p>
      <w:pPr>
        <w:spacing w:after="20" w:line="240" w:lineRule="auto"/>
      </w:pPr>
      <w:r>
        <w:rPr>
          <w:b/>
          <w:sz w:val="15"/>
        </w:rPr>
        <w:t xml:space="preserve">Федеральный закон от 26.07.2026 №266-ФЗ: </w:t>
      </w:r>
      <w:r>
        <w:rPr>
          <w:sz w:val="15"/>
        </w:rPr>
        <w:t>https://www.consultant.ru/document/cons_doc_LAW_540339/</w:t>
      </w:r>
    </w:p>
    <w:p>
      <w:pPr>
        <w:spacing w:after="20" w:line="240" w:lineRule="auto"/>
      </w:pPr>
      <w:r>
        <w:rPr>
          <w:b/>
          <w:sz w:val="15"/>
        </w:rPr>
        <w:t xml:space="preserve">Росстат, промышленное производство I полугодие 2026: </w:t>
      </w:r>
      <w:r>
        <w:rPr>
          <w:sz w:val="15"/>
        </w:rPr>
        <w:t>https://rosstat.gov.ru/storage/mediabank/110_22-07-2026.html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C26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B18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C26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