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Self-storage в России — 2026: досье бизнес-модели</w:t>
      </w:r>
    </w:p>
    <w:p>
      <w:pPr>
        <w:jc w:val="left"/>
      </w:pPr>
      <w:r>
        <w:rPr>
          <w:b/>
          <w:color w:val="C99A42"/>
          <w:sz w:val="17"/>
        </w:rPr>
        <w:t>Практический документ · актуальность фактчека 22.08.2026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sz w:val="18"/>
              </w:rPr>
              <w:t>Важно: расчёты ниже — сценарные. Перед реальным запуском замените аренду, CAPEX, тариф, налоги, требования к помещению и спрос фактическими данными конкретного объекта.</w:t>
            </w:r>
          </w:p>
        </w:tc>
      </w:tr>
    </w:tbl>
    <w:p/>
    <w:p>
      <w:pPr>
        <w:pStyle w:val="Heading1"/>
      </w:pPr>
      <w:r>
        <w:t>1. Управленческое резюме</w:t>
      </w:r>
    </w:p>
    <w:p>
      <w:r>
        <w:t>Self-storage — это аренда небольших индивидуальных боксов для хранения вещей и бизнес-имущества. В 2026 году вопрос уже не в том, существует ли спрос на дополнительное пространство. Главный вопрос — способно ли конкретное помещение генерировать достаточную выручку на каждый gross-м² после коридоров, технических зон, автоматизации, маркетинга и стоимости самой недвижимости.</w:t>
      </w:r>
    </w:p>
    <w:p>
      <w:r>
        <w:rPr>
          <w:b/>
        </w:rPr>
        <w:t xml:space="preserve">Ключевой вывод: </w:t>
      </w:r>
      <w:r>
        <w:t>self-storage прежде всего является моделью монетизации подходящей недвижимости, а уже затем самостоятельным бизнесом. Для собственника недоиспользуемого помещения экономика может быть сильной. Для предпринимателя, который сначала арендует дорогую городскую площадь, модель становится существенно чувствительнее.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Показатель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Сценарий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Что это значит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Общая площадь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200 м²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Синтетический объект для проверки логики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Продаваемая площадь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140 м² (70%)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Остальное — коридоры, доступ, техзоны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Реализованный тариф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2 300 ₽/м²/мес.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Сценарный тариф, сопоставимый с отдельными текущими предложениями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Зрелая загрузка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85%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Не стартовая загрузка; достигается через ramp-up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Выручка при зрелой загрузке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273 700 ₽/мес.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140 × 2 300 × 85%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Прибыль при своём помещении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≈111 тыс. ₽/мес.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До учёта альтернативной стоимости недвижимости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Прибыль при аренде 1 250 ₽/м²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≈–139 тыс. ₽/мес.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Рыночная аренда ломает данный сценарий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Prudent MaxRent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≈351 ₽/м²/мес.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Порог для 15% операционной маржи в данном сценарии</w:t>
            </w:r>
          </w:p>
        </w:tc>
      </w:tr>
    </w:tbl>
    <w:p>
      <w:pPr>
        <w:pStyle w:val="Heading1"/>
      </w:pPr>
      <w:r>
        <w:t>2. Как зарабатывает модель</w:t>
      </w:r>
    </w:p>
    <w:p>
      <w:r>
        <w:t>Экономика строится не вокруг количества дверей, а вокруг продаваемой площади и реализованного тарифа. Базовая цепочка:</w:t>
      </w:r>
    </w:p>
    <w:p>
      <w:r>
        <w:rPr>
          <w:b/>
        </w:rPr>
        <w:t>GROSS AREA → RENTABLE AREA → МИКС БОКСОВ → РЕАЛИЗОВАННЫЙ ТАРИФ → ЗАГРУЗКА → ВЫРУЧКА → OPEX → АРЕНДА / СТОИМОСТЬ НЕДВИЖИМОСТИ → ПРИБЫЛЬ.</w:t>
      </w:r>
    </w:p>
    <w:p>
      <w:pPr>
        <w:pStyle w:val="ListBullet"/>
        <w:spacing w:after="60"/>
      </w:pPr>
      <w:r>
        <w:t>Gross area — вся площадь помещения, за которую собственник платит или несёт альтернативную стоимость.</w:t>
      </w:r>
    </w:p>
    <w:p>
      <w:pPr>
        <w:pStyle w:val="ListBullet"/>
        <w:spacing w:after="60"/>
      </w:pPr>
      <w:r>
        <w:t>Rentable area — площадь, которую реально можно сдавать клиентам после коридоров, дверей, пожарных проходов, инженерных и сервисных зон.</w:t>
      </w:r>
    </w:p>
    <w:p>
      <w:pPr>
        <w:pStyle w:val="ListBullet"/>
        <w:spacing w:after="60"/>
      </w:pPr>
      <w:r>
        <w:t>Микс боксов влияет на тариф: маленькие боксы часто дают более высокий ₽/м², крупные — более низкий.</w:t>
      </w:r>
    </w:p>
    <w:p>
      <w:pPr>
        <w:pStyle w:val="ListBullet"/>
        <w:spacing w:after="60"/>
      </w:pPr>
      <w:r>
        <w:t>Occupancy нужно считать минимум в трёх измерениях: занятые боксы, занятая площадь, фактическая выручка.</w:t>
      </w:r>
    </w:p>
    <w:p>
      <w:pPr>
        <w:pStyle w:val="ListBullet"/>
        <w:spacing w:after="60"/>
      </w:pPr>
      <w:r>
        <w:t>Выручку нельзя считать по рекламному прайсу: нужен реализованный тариф после скидок, акций и структуры боксов.</w:t>
      </w:r>
    </w:p>
    <w:p>
      <w:pPr>
        <w:pStyle w:val="Heading1"/>
      </w:pPr>
      <w:r>
        <w:t>3. Почему помещение решает больше, чем бренд</w:t>
      </w:r>
    </w:p>
    <w:p>
      <w:r>
        <w:t>Два объекта с одинаковыми 200 м² могут иметь противоположный результат. Первый расположен в собственном недоиспользуемом помещении рядом с плотной жилой застройкой. Второй арендуется по рыночной ставке и требует постоянного маркетинга. При одинаковой клиентской выручке второй объект несёт дополнительный фиксированный слой расходов, который нельзя быстро уменьшить при слабой загрузке.</w:t>
      </w:r>
    </w:p>
    <w:p>
      <w:pPr>
        <w:pStyle w:val="Heading2"/>
      </w:pPr>
      <w:r>
        <w:t>Критерии подходящего помещения</w:t>
      </w:r>
    </w:p>
    <w:p>
      <w:pPr>
        <w:pStyle w:val="ListBullet"/>
        <w:spacing w:after="60"/>
      </w:pPr>
      <w:r>
        <w:t>Долгосрочный контроль помещения: собственность или договор, который позволяет окупать переоборудование.</w:t>
      </w:r>
    </w:p>
    <w:p>
      <w:pPr>
        <w:pStyle w:val="ListBullet"/>
        <w:spacing w:after="60"/>
      </w:pPr>
      <w:r>
        <w:t>Сухость, отопление/температурный режим по выбранному продукту, отсутствие регулярных протечек и критичных инженерных рисков.</w:t>
      </w:r>
    </w:p>
    <w:p>
      <w:pPr>
        <w:pStyle w:val="ListBullet"/>
        <w:spacing w:after="60"/>
      </w:pPr>
      <w:r>
        <w:t>Безопасный доступ клиентов и возможность организовать СКУД, CCTV, пожарную безопасность и круглосуточный режим, если он заявлен.</w:t>
      </w:r>
    </w:p>
    <w:p>
      <w:pPr>
        <w:pStyle w:val="ListBullet"/>
        <w:spacing w:after="60"/>
      </w:pPr>
      <w:r>
        <w:t>Планировка с достаточной долей rentable area; слишком много колонн, лестниц и технических зон ухудшают экономику.</w:t>
      </w:r>
    </w:p>
    <w:p>
      <w:pPr>
        <w:pStyle w:val="ListBullet"/>
        <w:spacing w:after="60"/>
      </w:pPr>
      <w:r>
        <w:t>Подъезд, разгрузка и понятный клиентский маршрут.</w:t>
      </w:r>
    </w:p>
    <w:p>
      <w:pPr>
        <w:pStyle w:val="ListBullet"/>
        <w:spacing w:after="60"/>
      </w:pPr>
      <w:r>
        <w:t>Локация, в которой реальный спрос поддерживает тариф, а не требует постоянной скидки.</w:t>
      </w:r>
    </w:p>
    <w:p>
      <w:pPr>
        <w:pStyle w:val="Heading1"/>
      </w:pPr>
      <w:r>
        <w:t>4. Рынок и коммерческие ориентиры</w:t>
      </w:r>
    </w:p>
    <w:p>
      <w:r>
        <w:t>Текущие предложения операторов показывают широкий диапазон тарифов. На страницах «Складовки» встречаются предложения примерно от 2,0 до 2,8 тыс. ₽/м²/мес. и выше, в зависимости от площади, адреса и акций. Для финансовой модели используется сценарный реализованный тариф 2 300 ₽/м²/мес., а не максимальный рекламный прайс.</w:t>
      </w:r>
    </w:p>
    <w:p>
      <w:r>
        <w:t>По коммерческим материалам «Кладовкина» стоимость переоборудования начинается от 8 000 ₽/м², Safebox указывает инвестиции от 11 500 ₽/м² и рекомендуемую площадь от 200 м². Это не независимые среднерыночные значения, поэтому в модели используется промежуточное допущение 9 500 ₽/м² и обязательный резерв 10%.</w:t>
      </w:r>
    </w:p>
    <w:p>
      <w:r>
        <w:t>Для аренды в качестве внешнего ориентира взята средняя ставка сегмента Light Industrial Московского региона по CORE.XP — 14 935 ₽/м²/год по итогам IV квартала 2025 года, то есть около 1 245 ₽/м²/мес. Операционные расходы включены, НДС не включён. Этот benchmark нельзя механически переносить на городской self-storage, но он хорошо показывает масштаб потенциальной арендной нагрузки.</w:t>
      </w:r>
    </w:p>
    <w:p>
      <w:pPr>
        <w:pStyle w:val="Heading1"/>
      </w:pPr>
      <w:r>
        <w:t>5. Синтетический объект: как работает экономика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Показатель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Сценарий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Что это значит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Gross area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200 м²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Базовая конфигурация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Rentable share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70%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140 м² сдаваемой площади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Тариф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2 300 ₽/м²/мес.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Реализованный, не рекламный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Occupancy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85%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119 м² фактически занято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Выручка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273 700 ₽/мес.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Зрелый сценарий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Non-rent fixed OPEX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142 000 ₽/мес.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Коммунальные, безопасность, связь, маркетинг, поддержка, уборка, страхование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Переменные расходы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≈20 500 ₽/мес.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7,5% выручки в сценарии</w:t>
            </w:r>
          </w:p>
        </w:tc>
      </w:tr>
    </w:tbl>
    <w:p>
      <w:r>
        <w:t>Если помещение своё и денежная аренда равна нулю, сценарная операционная прибыль составляет около 111 тыс. ₽/мес. Это ещё не доходность недвижимости: собственник должен отдельно сравнить результат с альтернативной сдачей помещения в аренду или продажей.</w:t>
      </w:r>
    </w:p>
    <w:p>
      <w:r>
        <w:t>Если тот же объект арендован по 1 250 ₽/м²/мес., аренда составляет 250 тыс. ₽ в месяц, и операционный результат становится отрицательным — около –139 тыс. ₽ в месяц. Это и есть причина, по которой self-storage нельзя оценивать без отдельного MaxRent.</w:t>
      </w:r>
    </w:p>
    <w:p>
      <w:pPr>
        <w:pStyle w:val="Heading1"/>
      </w:pPr>
      <w:r>
        <w:t>6. MaxRent: главный фильтр до договора</w:t>
      </w:r>
    </w:p>
    <w:p>
      <w:r>
        <w:t>MaxRent показывает, какую арендную ставку объект способен выдержать при заданных тарифе, загрузке и OPEX. В синтетическом сценарии:</w:t>
      </w:r>
    </w:p>
    <w:p>
      <w:pPr>
        <w:pStyle w:val="ListBullet"/>
        <w:spacing w:after="60"/>
      </w:pPr>
      <w:r>
        <w:t>break-even MaxRent ≈ 556 ₽/м²/мес. — выше этой ставки объект уходит в операционный минус;</w:t>
      </w:r>
    </w:p>
    <w:p>
      <w:pPr>
        <w:pStyle w:val="ListBullet"/>
        <w:spacing w:after="60"/>
      </w:pPr>
      <w:r>
        <w:t>prudent MaxRent ≈ 351 ₽/м²/мес. — ставка, при которой остаётся около 15% операционной маржи;</w:t>
      </w:r>
    </w:p>
    <w:p>
      <w:pPr>
        <w:pStyle w:val="ListBullet"/>
        <w:spacing w:after="60"/>
      </w:pPr>
      <w:r>
        <w:t>сценарная рыночная аренда 1 250 ₽/м²/мес. намного выше обоих порогов.</w:t>
      </w:r>
    </w:p>
    <w:p>
      <w:r>
        <w:t>Это не означает, что self-storage на аренде невозможен вообще. Это означает, что конкретная конфигурация 200 м² / 70% rentable / 2 300 ₽ тариф / 85% загрузка не выдерживает такую аренду. Решение может измениться при большем объекте, более дешёвом помещении, более высокой доле rentable area, сильном тарифе, меньшем OPEX или другом продуктовом миксе.</w:t>
      </w:r>
    </w:p>
    <w:p>
      <w:pPr>
        <w:pStyle w:val="Heading1"/>
      </w:pPr>
      <w:r>
        <w:t>7. Микс боксов и управление доходностью</w:t>
      </w:r>
    </w:p>
    <w:p>
      <w:pPr>
        <w:pStyle w:val="ListBullet"/>
        <w:spacing w:after="60"/>
      </w:pPr>
      <w:r>
        <w:t>Не делать планировку один раз «навсегда»: спрос на маленькие и большие боксы отличается.</w:t>
      </w:r>
    </w:p>
    <w:p>
      <w:pPr>
        <w:pStyle w:val="ListBullet"/>
        <w:spacing w:after="60"/>
      </w:pPr>
      <w:r>
        <w:t>Отслеживать occupancy не только по количеству боксов, но и по площади.</w:t>
      </w:r>
    </w:p>
    <w:p>
      <w:pPr>
        <w:pStyle w:val="ListBullet"/>
        <w:spacing w:after="60"/>
      </w:pPr>
      <w:r>
        <w:t>Сравнивать опубликованный тариф и фактический realised rate.</w:t>
      </w:r>
    </w:p>
    <w:p>
      <w:pPr>
        <w:pStyle w:val="ListBullet"/>
        <w:spacing w:after="60"/>
      </w:pPr>
      <w:r>
        <w:t>Выделять cohort новых клиентов: откуда пришли, какой размер выбрали, сколько месяцев арендуют.</w:t>
      </w:r>
    </w:p>
    <w:p>
      <w:pPr>
        <w:pStyle w:val="ListBullet"/>
        <w:spacing w:after="60"/>
      </w:pPr>
      <w:r>
        <w:t>Пересобирать микс, если маленькие боксы заполнены, а крупные системно простаивают.</w:t>
      </w:r>
    </w:p>
    <w:p>
      <w:pPr>
        <w:pStyle w:val="Heading1"/>
      </w:pPr>
      <w:r>
        <w:t>8. CAPEX и финансирование</w:t>
      </w:r>
    </w:p>
    <w:p>
      <w:r>
        <w:t>В рабочей модели заложено 9 500 ₽/м² на переоборудование gross area плюс 550 тыс. ₽ на прочий запуск и 10% резерв. Для 200 м² получается ориентир около 2,70 млн ₽ стартового CAPEX до учёта оборотного резерва. Это сценарная цифра, а не прайс рынка.</w:t>
      </w:r>
    </w:p>
    <w:p>
      <w:pPr>
        <w:pStyle w:val="ListBullet"/>
        <w:spacing w:after="60"/>
      </w:pPr>
      <w:r>
        <w:t>перегородки, двери, замки, номера и навигация;</w:t>
      </w:r>
    </w:p>
    <w:p>
      <w:pPr>
        <w:pStyle w:val="ListBullet"/>
        <w:spacing w:after="60"/>
      </w:pPr>
      <w:r>
        <w:t>СКУД, камеры, интернет, ПО и платежная инфраструктура;</w:t>
      </w:r>
    </w:p>
    <w:p>
      <w:pPr>
        <w:pStyle w:val="ListBullet"/>
        <w:spacing w:after="60"/>
      </w:pPr>
      <w:r>
        <w:t>пожарные и инженерные мероприятия;</w:t>
      </w:r>
    </w:p>
    <w:p>
      <w:pPr>
        <w:pStyle w:val="ListBullet"/>
        <w:spacing w:after="60"/>
      </w:pPr>
      <w:r>
        <w:t>подготовка пола, света, вентиляции и доступа;</w:t>
      </w:r>
    </w:p>
    <w:p>
      <w:pPr>
        <w:pStyle w:val="ListBullet"/>
        <w:spacing w:after="60"/>
      </w:pPr>
      <w:r>
        <w:t>юридический и технический запуск;</w:t>
      </w:r>
    </w:p>
    <w:p>
      <w:pPr>
        <w:pStyle w:val="ListBullet"/>
        <w:spacing w:after="60"/>
      </w:pPr>
      <w:r>
        <w:t>маркетинг до открытия;</w:t>
      </w:r>
    </w:p>
    <w:p>
      <w:pPr>
        <w:pStyle w:val="ListBullet"/>
        <w:spacing w:after="60"/>
      </w:pPr>
      <w:r>
        <w:t>резерв на ошибки сметы и задержки.</w:t>
      </w:r>
    </w:p>
    <w:p>
      <w:pPr>
        <w:pStyle w:val="Heading1"/>
      </w:pPr>
      <w:r>
        <w:t>9. Ключевые риски</w:t>
      </w:r>
    </w:p>
    <w:p>
      <w:pPr>
        <w:pStyle w:val="ListNumber"/>
        <w:spacing w:after="60"/>
      </w:pPr>
      <w:r>
        <w:t>Подписать дорогую аренду, а потом пытаться «дотянуть» экономику тарифом.</w:t>
      </w:r>
    </w:p>
    <w:p>
      <w:pPr>
        <w:pStyle w:val="ListNumber"/>
        <w:spacing w:after="60"/>
      </w:pPr>
      <w:r>
        <w:t>Считать 100% площади сдаваемой и забыть про коридоры и техзоны.</w:t>
      </w:r>
    </w:p>
    <w:p>
      <w:pPr>
        <w:pStyle w:val="ListNumber"/>
        <w:spacing w:after="60"/>
      </w:pPr>
      <w:r>
        <w:t>Стартовать с 85–90% occupancy в Excel вместо реального ramp-up.</w:t>
      </w:r>
    </w:p>
    <w:p>
      <w:pPr>
        <w:pStyle w:val="ListNumber"/>
        <w:spacing w:after="60"/>
      </w:pPr>
      <w:r>
        <w:t>Считать прайс оператора выручкой и не учитывать скидки / микс боксов.</w:t>
      </w:r>
    </w:p>
    <w:p>
      <w:pPr>
        <w:pStyle w:val="ListNumber"/>
        <w:spacing w:after="60"/>
      </w:pPr>
      <w:r>
        <w:t>Недооценить безопасность, пожарные требования и инженерное состояние помещения.</w:t>
      </w:r>
    </w:p>
    <w:p>
      <w:pPr>
        <w:pStyle w:val="ListNumber"/>
        <w:spacing w:after="60"/>
      </w:pPr>
      <w:r>
        <w:t>Переинвестировать в отделку, которую нельзя забрать при выходе из аренды.</w:t>
      </w:r>
    </w:p>
    <w:p>
      <w:pPr>
        <w:pStyle w:val="ListNumber"/>
        <w:spacing w:after="60"/>
      </w:pPr>
      <w:r>
        <w:t>Не иметь сценария выхода и компенсации неамортизированного CAPEX.</w:t>
      </w:r>
    </w:p>
    <w:p>
      <w:pPr>
        <w:pStyle w:val="ListNumber"/>
        <w:spacing w:after="60"/>
      </w:pPr>
      <w:r>
        <w:t>Игнорировать альтернативную доходность собственного помещения.</w:t>
      </w:r>
    </w:p>
    <w:p>
      <w:pPr>
        <w:pStyle w:val="Heading1"/>
      </w:pPr>
      <w:r>
        <w:t>10. Критерии GO / RECHECK / STOP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Показатель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Сценарий</w:t>
            </w:r>
          </w:p>
        </w:tc>
        <w:tc>
          <w:tcPr>
            <w:tcW w:type="dxa" w:w="3389"/>
            <w:shd w:fill="10223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Что это значит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GO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MaxRent выше фактической аренды с запасом; rentable share ≥65%; стресс-сценарий не разрушает ликвидность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Можно переходить к техническому проекту и переговорам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RECHECK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Экономика положительная только при высокой загрузке или тарифе; договор короткий/неудобный; CAPEX без компенсации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Пересчитать помещение, микс и условия договора</w:t>
            </w:r>
          </w:p>
        </w:tc>
      </w:tr>
      <w:tr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b/>
              </w:rPr>
              <w:t>STOP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7F3EB"/>
          </w:tcPr>
          <w:p>
            <w:r>
              <w:t>Рыночная аренда выше break-even MaxRent; нет контроля доступа/безопасности; критические инженерные риски</w:t>
            </w:r>
          </w:p>
        </w:tc>
        <w:tc>
          <w:tcPr>
            <w:tcW w:type="dxa" w:w="338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Не подписывать договор и искать другой объект</w:t>
            </w:r>
          </w:p>
        </w:tc>
      </w:tr>
    </w:tbl>
    <w:p>
      <w:pPr>
        <w:pStyle w:val="Heading1"/>
      </w:pPr>
      <w:r>
        <w:t>11. Что нужно проверить перед инвестициями</w:t>
      </w:r>
    </w:p>
    <w:p>
      <w:pPr>
        <w:pStyle w:val="ListNumber"/>
        <w:spacing w:after="60"/>
      </w:pPr>
      <w:r>
        <w:t>Получить план БТИ/обмеры и посчитать реальный rentable share.</w:t>
      </w:r>
    </w:p>
    <w:p>
      <w:pPr>
        <w:pStyle w:val="ListNumber"/>
        <w:spacing w:after="60"/>
      </w:pPr>
      <w:r>
        <w:t>Собрать минимум 2–3 коммерческих предложения на перегородки, СКУД, CCTV и пожарные работы.</w:t>
      </w:r>
    </w:p>
    <w:p>
      <w:pPr>
        <w:pStyle w:val="ListNumber"/>
        <w:spacing w:after="60"/>
      </w:pPr>
      <w:r>
        <w:t>Проверить конкурентов и тарифы в радиусе потенциального спроса, включая скидки.</w:t>
      </w:r>
    </w:p>
    <w:p>
      <w:pPr>
        <w:pStyle w:val="ListNumber"/>
        <w:spacing w:after="60"/>
      </w:pPr>
      <w:r>
        <w:t>Собрать договор аренды и посчитать не только ставку, но и индексацию, депозит, каникулы, OPEX, НДС и выход.</w:t>
      </w:r>
    </w:p>
    <w:p>
      <w:pPr>
        <w:pStyle w:val="ListNumber"/>
        <w:spacing w:after="60"/>
      </w:pPr>
      <w:r>
        <w:t>Посчитать MaxRent до переговоров с арендодателем.</w:t>
      </w:r>
    </w:p>
    <w:p>
      <w:pPr>
        <w:pStyle w:val="ListNumber"/>
        <w:spacing w:after="60"/>
      </w:pPr>
      <w:r>
        <w:t>Прогнать Weak / Base / Strong и sensitivity тариф × occupancy.</w:t>
      </w:r>
    </w:p>
    <w:p>
      <w:pPr>
        <w:pStyle w:val="ListNumber"/>
        <w:spacing w:after="60"/>
      </w:pPr>
      <w:r>
        <w:t>Сформировать 3-месячный оборотный резерв поверх CAPEX.</w:t>
      </w:r>
    </w:p>
    <w:p>
      <w:pPr>
        <w:pStyle w:val="ListNumber"/>
        <w:spacing w:after="60"/>
      </w:pPr>
      <w:r>
        <w:t>Только после этого принимать решение о запуске.</w:t>
      </w:r>
    </w:p>
    <w:p>
      <w:pPr>
        <w:pStyle w:val="Heading1"/>
      </w:pPr>
      <w:r>
        <w:t>Источники и границы использования</w:t>
      </w:r>
    </w:p>
    <w:p>
      <w:r>
        <w:rPr>
          <w:b/>
          <w:color w:val="102238"/>
        </w:rPr>
        <w:t>Кладовкин — франшиза</w:t>
      </w:r>
      <w:r>
        <w:br/>
        <w:t>https://kladovkin.ru/franchise/</w:t>
        <w:br/>
        <w:t>Стоимость переоборудования от 8 000 ₽/м²; коммерческий пример 165 м², инвестиции 1,71 млн ₽, заполняемость 99%, окупаемость 17 месяцев. Используется только как коммерческий benchmark, не как независимая норма.</w:t>
      </w:r>
    </w:p>
    <w:p>
      <w:r>
        <w:rPr>
          <w:b/>
          <w:color w:val="102238"/>
        </w:rPr>
        <w:t>Safebox — франшиза</w:t>
      </w:r>
      <w:r>
        <w:br/>
        <w:t>https://safe-box.ru/franchise/</w:t>
        <w:br/>
        <w:t>Инвестиции от 11 500 ₽/м², рекомендуемая площадь от 200 м², роялти 10% выручки и рекламные отчисления 10%. Заявленные прибыль/окупаемость — маркетинговый пример оператора.</w:t>
      </w:r>
    </w:p>
    <w:p>
      <w:r>
        <w:rPr>
          <w:b/>
          <w:color w:val="102238"/>
        </w:rPr>
        <w:t>Складовка — текущие предложения</w:t>
      </w:r>
      <w:r>
        <w:br/>
        <w:t>https://www.skladovka.ru/hranenie-dlya-biznesa/sklad-s-nebolshoj-ploshchadyu/</w:t>
        <w:br/>
        <w:t>Примеры тарифов self-storage в Москве примерно 2 026–2 833 ₽/м²/мес. и выше в зависимости от объекта и площади.</w:t>
      </w:r>
    </w:p>
    <w:p>
      <w:r>
        <w:rPr>
          <w:b/>
          <w:color w:val="102238"/>
        </w:rPr>
        <w:t>Складовка — пример 27 м²</w:t>
      </w:r>
      <w:r>
        <w:br/>
        <w:t>https://www.skladovka.ru/hranenie-dlya-biznesa/price62100/</w:t>
        <w:br/>
        <w:t>62 100 ₽/мес., 2 300 ₽/м² — используется как проверка сценарного тарифа, а не как средняя рынка.</w:t>
      </w:r>
    </w:p>
    <w:p>
      <w:r>
        <w:rPr>
          <w:b/>
          <w:color w:val="102238"/>
        </w:rPr>
        <w:t>CORE.XP — Light Industrial IV кв. 2025</w:t>
      </w:r>
      <w:r>
        <w:br/>
        <w:t>https://core-xp.ru/upload/iblock/e33/lgxodxibme0gx03rlegemh2ox7ihuaan.pdf</w:t>
        <w:br/>
        <w:t>Средняя ставка аренды 14 935 ₽/м²/год в Московском регионе, операционные расходы включены, без НДС. Обзор не включает зону внутри МКАД и до 6 км.</w:t>
      </w:r>
    </w:p>
    <w:p>
      <w:r>
        <w:rPr>
          <w:b/>
          <w:color w:val="102238"/>
        </w:rPr>
        <w:t>Твой Склад — методология загрузки</w:t>
      </w:r>
      <w:r>
        <w:br/>
        <w:t>https://tvoysklad.com/tpost/rop02xzz61-90-zagruzki-ne-vsegda-uspeh-kak-otseniva</w:t>
        <w:br/>
        <w:t>Высокая физическая загрузка сама по себе не гарантирует хороший результат; важно считать occupancy по площади, выручку, микс боксов и платежную дисциплину.</w:t>
      </w:r>
    </w:p>
    <w:p>
      <w:r>
        <w:rPr>
          <w:b/>
        </w:rPr>
        <w:t xml:space="preserve">Граница интерпретации: </w:t>
      </w:r>
      <w:r>
        <w:t>цены операторов, франшизные расчёты и коммерческие кейсы не являются независимой статистикой и не используются как обещание доходности. Все числа проекта, которых нет во внешних источниках, помечены как сценарные допущения.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5"/>
      </w:rPr>
      <w:t>Бизнес под микроскопом  ·  Self-storage 2026  ·  Разбираем. Анализируем. Объясняем.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B31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102238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Georgia" w:hAnsi="Georgia"/>
      <w:b w:val="0"/>
      <w:bCs/>
      <w:color w:val="10223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Georgia" w:hAnsi="Georgia"/>
      <w:b w:val="0"/>
      <w:bCs/>
      <w:color w:val="C99A4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Georgia" w:hAnsi="Georgia"/>
      <w:b w:val="0"/>
      <w:color w:val="102238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