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Self-storage 2026: due diligence помещения и локации</w:t>
      </w:r>
    </w:p>
    <w:p>
      <w:pPr>
        <w:jc w:val="left"/>
      </w:pPr>
      <w:r>
        <w:rPr>
          <w:b/>
          <w:color w:val="C99A42"/>
          <w:sz w:val="17"/>
        </w:rPr>
        <w:t>Практический документ · актуальность фактчека 22.08.2026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sz w:val="18"/>
              </w:rPr>
              <w:t>Важно: расчёты ниже — сценарные. Перед реальным запуском замените аренду, CAPEX, тариф, налоги, требования к помещению и спрос фактическими данными конкретного объекта.</w:t>
            </w:r>
          </w:p>
        </w:tc>
      </w:tr>
    </w:tbl>
    <w:p/>
    <w:p>
      <w:pPr>
        <w:pStyle w:val="Heading1"/>
      </w:pPr>
      <w:r>
        <w:t>Как использовать документ</w:t>
      </w:r>
    </w:p>
    <w:p>
      <w:r>
        <w:t>Этот файл предназначен для проверки помещения до подписания аренды или начала переоборудования. Заполняйте его по каждому объекту отдельно. Не ставьте «условно подходит», если ответ неизвестен: неизвестный критический параметр считается риском до подтверждения.</w:t>
      </w:r>
    </w:p>
    <w:p>
      <w:pPr>
        <w:pStyle w:val="Heading1"/>
      </w:pPr>
      <w:r>
        <w:t>1. Быстрый стоп-фильтр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Контроль помещения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Собственность или долгосрочный договор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Если срок короче окупаемости CAPEX — STOP/RECHECK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MaxRent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Реальная ставка ниже prudent MaxRent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Если выше break-even MaxRent — STOP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Пожарная безопасность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Есть техническая возможность выполнить требования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Нет возможности — STOP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Доступ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Есть безопасный путь клиента и разгрузка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Сложный/запрещённый доступ — RECHECK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Rentable share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Предварительно ≥65%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Ниже — планировка должна быть экономически оправдана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Инженерия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Нет критических протечек, сырости, электрики/вентиляции вне нормы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Критический дефект — STOP до сметы</w:t>
            </w:r>
          </w:p>
        </w:tc>
      </w:tr>
    </w:tbl>
    <w:p>
      <w:pPr>
        <w:pStyle w:val="Heading1"/>
      </w:pPr>
      <w:r>
        <w:t>2. Карта проверки помещения</w:t>
      </w:r>
    </w:p>
    <w:p>
      <w:pPr>
        <w:pStyle w:val="Heading2"/>
      </w:pPr>
      <w:r>
        <w:t>Право и договор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Да / Нет / ?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Доказательство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Решение / действие</w:t>
            </w:r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Собственник подтверждён документами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Разрешён заявленный вид использования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Срок договора покрывает инвестиционный горизонт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понятные условия досрочного выхода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Индексация ограничена или известна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Зафиксированы арендные каникулы и порядок ремонта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Понятно, кому остаются неотделимые улучшения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/>
    <w:p>
      <w:pPr>
        <w:pStyle w:val="Heading2"/>
      </w:pPr>
      <w:r>
        <w:t>Площадь и планировка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Да / Нет / ?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Доказательство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Решение / действие</w:t>
            </w:r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актуальные обмеры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Посчитана gross area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Посчитана rentable area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Коридоры соответствуют требованиям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Колонны/шахты/лестницы не убивают микс боксов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зона разгрузки и клиентский маршрут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Можно менять микс боксов после запуска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/>
    <w:p>
      <w:pPr>
        <w:pStyle w:val="Heading2"/>
      </w:pPr>
      <w:r>
        <w:t>Инженерия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Да / Нет / ?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Доказательство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Решение / действие</w:t>
            </w:r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Электрическая мощность достаточна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Освещение возможно без дорогой реконструкции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Сухость и гидроизоляция подтверждены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Температурный режим соответствует продукту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Вентиляция понятна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Нет хронических аварий коммуникаций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связь / интернет / резервный канал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/>
    <w:p>
      <w:pPr>
        <w:pStyle w:val="Heading2"/>
      </w:pPr>
      <w:r>
        <w:t>Безопасность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Да / Нет / ?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Доказательство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Решение / действие</w:t>
            </w:r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СКУД можно установить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место под CCTV без слепых зон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Пожарные решения согласуемы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сценарий аварийного доступа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Договор страхования возможен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журнал инцидентов/осмотров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/>
    <w:p>
      <w:pPr>
        <w:pStyle w:val="Heading2"/>
      </w:pPr>
      <w:r>
        <w:t>Локация и спрос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Да / Нет / ?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Доказательство</w:t>
            </w:r>
          </w:p>
        </w:tc>
        <w:tc>
          <w:tcPr>
            <w:tcW w:type="dxa" w:w="2541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Решение / действие</w:t>
            </w:r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Плотность жилья/малого бизнеса вокруг понятна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Конкуренты нанесены на карту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Тарифы конкурентов собраны фактически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Проверены акции и скидки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удобный подъезд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Есть парковка/разгрузка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Нет очевидного барьера для вечернего доступа</w:t>
            </w:r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541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/>
    <w:p>
      <w:pPr>
        <w:pStyle w:val="Heading1"/>
      </w:pPr>
      <w:r>
        <w:t>3. Матрица выбора из трёх объектов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94"/>
        <w:gridCol w:w="1694"/>
        <w:gridCol w:w="1694"/>
        <w:gridCol w:w="1694"/>
        <w:gridCol w:w="1694"/>
        <w:gridCol w:w="1694"/>
      </w:tblGrid>
      <w:tr>
        <w:tc>
          <w:tcPr>
            <w:tcW w:type="dxa" w:w="1694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Критерий</w:t>
            </w:r>
          </w:p>
        </w:tc>
        <w:tc>
          <w:tcPr>
            <w:tcW w:type="dxa" w:w="1694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Вес</w:t>
            </w:r>
          </w:p>
        </w:tc>
        <w:tc>
          <w:tcPr>
            <w:tcW w:type="dxa" w:w="1694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Объект A</w:t>
            </w:r>
          </w:p>
        </w:tc>
        <w:tc>
          <w:tcPr>
            <w:tcW w:type="dxa" w:w="1694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Объект B</w:t>
            </w:r>
          </w:p>
        </w:tc>
        <w:tc>
          <w:tcPr>
            <w:tcW w:type="dxa" w:w="1694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Объект C</w:t>
            </w:r>
          </w:p>
        </w:tc>
        <w:tc>
          <w:tcPr>
            <w:tcW w:type="dxa" w:w="1694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Правило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Аренда / MaxRent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25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Если аренда выше BE MaxRent — объект исключается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Rentable share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5 = ≥75%; 3 = 65–69%; 0 = &lt;55%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Доступ / разгрузка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Оценивается в реальном клиентском маршруте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Спрос / конкуренты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Тариф и occupancy должны подтверждаться рынком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Инженерия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Учитывать весь CAPEX исправлений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Безопасность / пожарка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Невыполнимое требование = исключение</w:t>
            </w:r>
          </w:p>
        </w:tc>
      </w:tr>
      <w:tr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Условия договора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0–5</w:t>
            </w:r>
          </w:p>
        </w:tc>
        <w:tc>
          <w:tcPr>
            <w:tcW w:type="dxa" w:w="1694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Срок, индексация, выход, улучшения</w:t>
            </w:r>
          </w:p>
        </w:tc>
      </w:tr>
    </w:tbl>
    <w:p>
      <w:pPr>
        <w:pStyle w:val="Heading1"/>
      </w:pPr>
      <w:r>
        <w:t>4. Вопросы арендодателю до LOI / договора</w:t>
      </w:r>
    </w:p>
    <w:p>
      <w:pPr>
        <w:pStyle w:val="ListNumber"/>
        <w:spacing w:after="60"/>
      </w:pPr>
      <w:r>
        <w:t>Какой точный состав платежа: базовая аренда, OPEX, НДС, коммунальные, эксплуатация, парковка?</w:t>
      </w:r>
    </w:p>
    <w:p>
      <w:pPr>
        <w:pStyle w:val="ListNumber"/>
        <w:spacing w:after="60"/>
      </w:pPr>
      <w:r>
        <w:t>Как индексируется ставка и есть ли потолок индексации?</w:t>
      </w:r>
    </w:p>
    <w:p>
      <w:pPr>
        <w:pStyle w:val="ListNumber"/>
        <w:spacing w:after="60"/>
      </w:pPr>
      <w:r>
        <w:t>Какой обеспечительный платёж и когда он возвращается?</w:t>
      </w:r>
    </w:p>
    <w:p>
      <w:pPr>
        <w:pStyle w:val="ListNumber"/>
        <w:spacing w:after="60"/>
      </w:pPr>
      <w:r>
        <w:t>Сколько месяцев арендных каникул даётся на проектирование и монтаж?</w:t>
      </w:r>
    </w:p>
    <w:p>
      <w:pPr>
        <w:pStyle w:val="ListNumber"/>
        <w:spacing w:after="60"/>
      </w:pPr>
      <w:r>
        <w:t>Какие улучшения можно демонтировать при выходе?</w:t>
      </w:r>
    </w:p>
    <w:p>
      <w:pPr>
        <w:pStyle w:val="ListNumber"/>
        <w:spacing w:after="60"/>
      </w:pPr>
      <w:r>
        <w:t>Кто отвечает за протечки, общедомовые сети и пожарные системы?</w:t>
      </w:r>
    </w:p>
    <w:p>
      <w:pPr>
        <w:pStyle w:val="ListNumber"/>
        <w:spacing w:after="60"/>
      </w:pPr>
      <w:r>
        <w:t>Разрешены ли 24/7 доступ, вывеска, СКУД, камеры и автоматизированный режим?</w:t>
      </w:r>
    </w:p>
    <w:p>
      <w:pPr>
        <w:pStyle w:val="ListNumber"/>
        <w:spacing w:after="60"/>
      </w:pPr>
      <w:r>
        <w:t>Можно ли передавать доступ клиентам и размещать индивидуальные боксы?</w:t>
      </w:r>
    </w:p>
    <w:p>
      <w:pPr>
        <w:pStyle w:val="ListNumber"/>
        <w:spacing w:after="60"/>
      </w:pPr>
      <w:r>
        <w:t>Какие основания одностороннего расторжения есть у каждой стороны?</w:t>
      </w:r>
    </w:p>
    <w:p>
      <w:pPr>
        <w:pStyle w:val="ListNumber"/>
        <w:spacing w:after="60"/>
      </w:pPr>
      <w:r>
        <w:t>Что произойдёт с CAPEX, если договор прекратится раньше срока?</w:t>
      </w:r>
    </w:p>
    <w:p>
      <w:pPr>
        <w:pStyle w:val="Heading1"/>
      </w:pPr>
      <w:r>
        <w:t>5. Решение после due diligence</w:t>
      </w:r>
    </w:p>
    <w:p>
      <w:pPr>
        <w:pStyle w:val="ListBullet"/>
        <w:spacing w:after="60"/>
      </w:pPr>
      <w:r>
        <w:t>GO — критических стоп-факторов нет, ставка ниже prudent MaxRent с запасом, CAPEX подтверждён КП.</w:t>
      </w:r>
    </w:p>
    <w:p>
      <w:pPr>
        <w:pStyle w:val="ListBullet"/>
        <w:spacing w:after="60"/>
      </w:pPr>
      <w:r>
        <w:t>RECHECK — экономика положительная только в сильном сценарии или есть неясность по договору/инженерии.</w:t>
      </w:r>
    </w:p>
    <w:p>
      <w:pPr>
        <w:pStyle w:val="ListBullet"/>
        <w:spacing w:after="60"/>
      </w:pPr>
      <w:r>
        <w:t>STOP — ставка выше break-even MaxRent, нет долгосрочного контроля помещения или критическое требование технически невыполнимо.</w:t>
      </w:r>
    </w:p>
    <w:p>
      <w:pPr>
        <w:pStyle w:val="Heading1"/>
      </w:pPr>
      <w:r>
        <w:t>Источники и границы использования</w:t>
      </w:r>
    </w:p>
    <w:p>
      <w:r>
        <w:rPr>
          <w:b/>
          <w:color w:val="102238"/>
        </w:rPr>
        <w:t>Кладовкин — франшиза</w:t>
      </w:r>
      <w:r>
        <w:br/>
        <w:t>https://kladovkin.ru/franchise/</w:t>
        <w:br/>
        <w:t>Стоимость переоборудования от 8 000 ₽/м²; коммерческий пример 165 м², инвестиции 1,71 млн ₽, заполняемость 99%, окупаемость 17 месяцев. Используется только как коммерческий benchmark, не как независимая норма.</w:t>
      </w:r>
    </w:p>
    <w:p>
      <w:r>
        <w:rPr>
          <w:b/>
          <w:color w:val="102238"/>
        </w:rPr>
        <w:t>Safebox — франшиза</w:t>
      </w:r>
      <w:r>
        <w:br/>
        <w:t>https://safe-box.ru/franchise/</w:t>
        <w:br/>
        <w:t>Инвестиции от 11 500 ₽/м², рекомендуемая площадь от 200 м², роялти 10% выручки и рекламные отчисления 10%. Заявленные прибыль/окупаемость — маркетинговый пример оператора.</w:t>
      </w:r>
    </w:p>
    <w:p>
      <w:r>
        <w:rPr>
          <w:b/>
          <w:color w:val="102238"/>
        </w:rPr>
        <w:t>Складовка — текущие предложения</w:t>
      </w:r>
      <w:r>
        <w:br/>
        <w:t>https://www.skladovka.ru/hranenie-dlya-biznesa/sklad-s-nebolshoj-ploshchadyu/</w:t>
        <w:br/>
        <w:t>Примеры тарифов self-storage в Москве примерно 2 026–2 833 ₽/м²/мес. и выше в зависимости от объекта и площади.</w:t>
      </w:r>
    </w:p>
    <w:p>
      <w:r>
        <w:rPr>
          <w:b/>
          <w:color w:val="102238"/>
        </w:rPr>
        <w:t>Складовка — пример 27 м²</w:t>
      </w:r>
      <w:r>
        <w:br/>
        <w:t>https://www.skladovka.ru/hranenie-dlya-biznesa/price62100/</w:t>
        <w:br/>
        <w:t>62 100 ₽/мес., 2 300 ₽/м² — используется как проверка сценарного тарифа, а не как средняя рынка.</w:t>
      </w:r>
    </w:p>
    <w:p>
      <w:r>
        <w:rPr>
          <w:b/>
          <w:color w:val="102238"/>
        </w:rPr>
        <w:t>CORE.XP — Light Industrial IV кв. 2025</w:t>
      </w:r>
      <w:r>
        <w:br/>
        <w:t>https://core-xp.ru/upload/iblock/e33/lgxodxibme0gx03rlegemh2ox7ihuaan.pdf</w:t>
        <w:br/>
        <w:t>Средняя ставка аренды 14 935 ₽/м²/год в Московском регионе, операционные расходы включены, без НДС. Обзор не включает зону внутри МКАД и до 6 км.</w:t>
      </w:r>
    </w:p>
    <w:p>
      <w:r>
        <w:rPr>
          <w:b/>
          <w:color w:val="102238"/>
        </w:rPr>
        <w:t>Твой Склад — методология загрузки</w:t>
      </w:r>
      <w:r>
        <w:br/>
        <w:t>https://tvoysklad.com/tpost/rop02xzz61-90-zagruzki-ne-vsegda-uspeh-kak-otseniva</w:t>
        <w:br/>
        <w:t>Высокая физическая загрузка сама по себе не гарантирует хороший результат; важно считать occupancy по площади, выручку, микс боксов и платежную дисциплину.</w:t>
      </w:r>
    </w:p>
    <w:p>
      <w:r>
        <w:rPr>
          <w:b/>
        </w:rPr>
        <w:t xml:space="preserve">Граница интерпретации: </w:t>
      </w:r>
      <w:r>
        <w:t>цены операторов, франшизные расчёты и коммерческие кейсы не являются независимой статистикой и не используются как обещание доходности. Все числа проекта, которых нет во внешних источниках, помечены как сценарные допущения.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5"/>
      </w:rPr>
      <w:t>Бизнес под микроскопом  ·  Self-storage 2026  ·  Разбираем. Анализируем. Объясняем.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0223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1022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Georgia" w:hAnsi="Georgia"/>
      <w:b w:val="0"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Georgia" w:hAnsi="Georgia"/>
      <w:b w:val="0"/>
      <w:color w:val="1022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