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Self-storage 2026: операционная карта запуска и готовый сценарий</w:t>
      </w:r>
    </w:p>
    <w:p>
      <w:pPr>
        <w:jc w:val="left"/>
      </w:pPr>
      <w:r>
        <w:rPr>
          <w:b/>
          <w:color w:val="C99A42"/>
          <w:sz w:val="17"/>
        </w:rPr>
        <w:t>Практический документ · актуальность фактчека 22.08.2026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sz w:val="18"/>
              </w:rPr>
              <w:t>Важно: расчёты ниже — сценарные. Перед реальным запуском замените аренду, CAPEX, тариф, налоги, требования к помещению и спрос фактическими данными конкретного объекта.</w:t>
            </w:r>
          </w:p>
        </w:tc>
      </w:tr>
    </w:tbl>
    <w:p/>
    <w:p>
      <w:pPr>
        <w:pStyle w:val="Heading1"/>
      </w:pPr>
      <w:r>
        <w:t>1. Что именно запускаем в сценарии</w:t>
      </w:r>
    </w:p>
    <w:p>
      <w:r>
        <w:t>Синтетический объект: 200 м² gross area, 140 м² rentable area, автоматизированный доступ без постоянного ресепшен, смесь боксов 1,5–12 м², реализованный зрелый тариф 2 300 ₽/м²/мес. Цель сценария — показать механику запуска, а не обещать результат.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Показатель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Сценарий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Что это значит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Gross area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200 м²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Помещение, за которое несётся стоимость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Rentable area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140 м²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70% от gross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Микс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XS/S/M/L/XL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Маленькие боксы имеют более высокий тариф на м²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Зрелая загрузка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85%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Достигается постепенно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Зрелая выручка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273 700 ₽/мес.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Сценарная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Стартовый CAPEX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≈2,70 млн ₽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До оборотного резерва; сценарный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Своё помещение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≈111 тыс. ₽/мес. op. profit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До opportunity cost недвижимости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Аренда 1 250 ₽/м²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≈–139 тыс. ₽/мес.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Сценарий не проходит</w:t>
            </w:r>
          </w:p>
        </w:tc>
      </w:tr>
    </w:tbl>
    <w:p>
      <w:pPr>
        <w:pStyle w:val="Heading1"/>
      </w:pPr>
      <w:r>
        <w:t>2. Оборудование и инфраструктура</w:t>
      </w:r>
    </w:p>
    <w:p>
      <w:pPr>
        <w:pStyle w:val="ListBullet"/>
        <w:spacing w:after="60"/>
      </w:pPr>
      <w:r>
        <w:t>Модульные перегородки и роллетные/секционные двери либо иной выбранный формат боксов.</w:t>
      </w:r>
    </w:p>
    <w:p>
      <w:pPr>
        <w:pStyle w:val="ListBullet"/>
        <w:spacing w:after="60"/>
      </w:pPr>
      <w:r>
        <w:t>Электронные замки/СКУД на входе и понятная система аварийного доступа.</w:t>
      </w:r>
    </w:p>
    <w:p>
      <w:pPr>
        <w:pStyle w:val="ListBullet"/>
        <w:spacing w:after="60"/>
      </w:pPr>
      <w:r>
        <w:t>CCTV с хранением архива и покрытием входов, коридоров и зон разгрузки.</w:t>
      </w:r>
    </w:p>
    <w:p>
      <w:pPr>
        <w:pStyle w:val="ListBullet"/>
        <w:spacing w:after="60"/>
      </w:pPr>
      <w:r>
        <w:t>Пожарная сигнализация и мероприятия по проекту конкретного объекта.</w:t>
      </w:r>
    </w:p>
    <w:p>
      <w:pPr>
        <w:pStyle w:val="ListBullet"/>
        <w:spacing w:after="60"/>
      </w:pPr>
      <w:r>
        <w:t>Нормальное освещение коридоров и резервные светильники там, где требуется.</w:t>
      </w:r>
    </w:p>
    <w:p>
      <w:pPr>
        <w:pStyle w:val="ListBullet"/>
        <w:spacing w:after="60"/>
      </w:pPr>
      <w:r>
        <w:t>Интернет, резервный канал связи, роутер/UPS для критических систем.</w:t>
      </w:r>
    </w:p>
    <w:p>
      <w:pPr>
        <w:pStyle w:val="ListBullet"/>
        <w:spacing w:after="60"/>
      </w:pPr>
      <w:r>
        <w:t>Онлайн-оплата, CRM/учёт боксов, автоматические уведомления об оплате и задолженности.</w:t>
      </w:r>
    </w:p>
    <w:p>
      <w:pPr>
        <w:pStyle w:val="ListBullet"/>
        <w:spacing w:after="60"/>
      </w:pPr>
      <w:r>
        <w:t>Тележки, упаковочные расходники, минимальная навигация и номера боксов.</w:t>
      </w:r>
    </w:p>
    <w:p>
      <w:pPr>
        <w:pStyle w:val="ListBullet"/>
        <w:spacing w:after="60"/>
      </w:pPr>
      <w:r>
        <w:t>Датчики протечки/температуры/влажности — если риск и продукт требуют контроля.</w:t>
      </w:r>
    </w:p>
    <w:p>
      <w:pPr>
        <w:pStyle w:val="Heading1"/>
      </w:pPr>
      <w:r>
        <w:t>3. Минимальная команда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Показатель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Сценарий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Что это значит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Собственник / управляющий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5–8 ч/нед. после стабилизации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Финансы, тарифы, подрядчики, договоры, KPI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Удалённая поддержка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Ежедневно по SLA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Доступ, бронирования, оплаты, вопросы клиентов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Техник / подрядчик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По вызову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СКУД, камеры, замки, мелкий ремонт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Уборка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2–4 раза в неделю / по объекту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Коридоры, вход, зона разгрузки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Маркетинг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Внешний подряд или часть роли управляющего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Карты, контекст, ретаргетинг, локальные партнёрства</w:t>
            </w:r>
          </w:p>
        </w:tc>
      </w:tr>
    </w:tbl>
    <w:p>
      <w:pPr>
        <w:pStyle w:val="Heading1"/>
      </w:pPr>
      <w:r>
        <w:t>4. 12-недельный запуск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Этап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Результат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Недели 1–2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Due diligence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Договор, обмеры, MaxRent, конкуренты, техническое обследование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Недели 3–4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Проектирование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Боксография, пожарка, электрика, CCTV, СКУД, клиентский маршрут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Недели 5–8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Монтаж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Перегородки, двери, сети, камеры, доступ, маркировка, тестирование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Недели 7–9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Продажи до открытия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Карты, лендинг, бронь, партнёрства с переездами/ремонтом, первые лиды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Недели 9–10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Приёмка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Чек-лист безопасности, тест доступа, оплата, аварийные сценарии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Недели 11–12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Soft launch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Открытие, сбор вопросов, корректировка инструкций и тарифной сетки</w:t>
            </w:r>
          </w:p>
        </w:tc>
      </w:tr>
    </w:tbl>
    <w:p>
      <w:pPr>
        <w:pStyle w:val="Heading1"/>
      </w:pPr>
      <w:r>
        <w:t>5. Как теоретически отрабатывает объект</w:t>
      </w:r>
    </w:p>
    <w:p>
      <w:r>
        <w:t>В финансовой модели occupancy начинается с 25% в первый месяц и постепенно растёт до 84% к 12-му месяцу. Это сознательно медленнее маркетинговых кейсов: объект должен пережить ramp-up без предположения, что он сразу заполнен.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Показатель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Сценарий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Что это значит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Месяц 1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25% occupancy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Проверяем трафик, onboarding, доступ, первые причины отказа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Месяц 3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40%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Достаточно данных, чтобы менять тариф и микс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Месяц 6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61%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Начинаем видеть реальную стоимость привлечения и retention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Месяц 9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76%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Проверяем дефицит/избыток размеров боксов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Месяц 12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84%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Объект близок к зрелому режиму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После 12 мес.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85–88%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Нельзя считать успех только по физической загрузке — нужна выручка и realised rate</w:t>
            </w:r>
          </w:p>
        </w:tc>
      </w:tr>
    </w:tbl>
    <w:p>
      <w:pPr>
        <w:pStyle w:val="Heading1"/>
      </w:pPr>
      <w:r>
        <w:t>6. Еженедельный управленческий ритм</w:t>
      </w:r>
    </w:p>
    <w:p>
      <w:pPr>
        <w:pStyle w:val="ListBullet"/>
        <w:spacing w:after="60"/>
      </w:pPr>
      <w:r>
        <w:t>Понедельник: occupancy по боксам и площади, свободные боксы по размерам, неоплаченные арендаторы.</w:t>
      </w:r>
    </w:p>
    <w:p>
      <w:pPr>
        <w:pStyle w:val="ListBullet"/>
        <w:spacing w:after="60"/>
      </w:pPr>
      <w:r>
        <w:t>Среда: лиды, конверсия в бронь/договор, причины отказа, стоимость привлечения.</w:t>
      </w:r>
    </w:p>
    <w:p>
      <w:pPr>
        <w:pStyle w:val="ListBullet"/>
        <w:spacing w:after="60"/>
      </w:pPr>
      <w:r>
        <w:t>Пятница: фактическая выручка, realised rate, скидки, просрочка, инциденты, отзывы.</w:t>
      </w:r>
    </w:p>
    <w:p>
      <w:pPr>
        <w:pStyle w:val="ListBullet"/>
        <w:spacing w:after="60"/>
      </w:pPr>
      <w:r>
        <w:t>Раз в месяц: P&amp;L, cash-flow, сравнение с ramp-up, пересмотр тарифов и маркетинга.</w:t>
      </w:r>
    </w:p>
    <w:p>
      <w:pPr>
        <w:pStyle w:val="ListBullet"/>
        <w:spacing w:after="60"/>
      </w:pPr>
      <w:r>
        <w:t>Раз в квартал: микс боксов, капитальные ремонты, страхование, договор аренды, альтернативная стоимость помещения.</w:t>
      </w:r>
    </w:p>
    <w:p>
      <w:pPr>
        <w:pStyle w:val="Heading1"/>
      </w:pPr>
      <w:r>
        <w:t>7. Триггеры для изменения тарифа</w:t>
      </w:r>
    </w:p>
    <w:p>
      <w:pPr>
        <w:pStyle w:val="ListBullet"/>
        <w:spacing w:after="60"/>
      </w:pPr>
      <w:r>
        <w:t>Маленькие боксы &gt;90% заняты, крупные &lt;65% — повышать цену дефицитных размеров и пересматривать микс.</w:t>
      </w:r>
    </w:p>
    <w:p>
      <w:pPr>
        <w:pStyle w:val="ListBullet"/>
        <w:spacing w:after="60"/>
      </w:pPr>
      <w:r>
        <w:t>Высокая occupancy, но realised rate падает — скидки съедают экономику.</w:t>
      </w:r>
    </w:p>
    <w:p>
      <w:pPr>
        <w:pStyle w:val="ListBullet"/>
        <w:spacing w:after="60"/>
      </w:pPr>
      <w:r>
        <w:t>Низкая occupancy при нормальной конверсии — проблема может быть в продукте/миксе, а не в рекламе.</w:t>
      </w:r>
    </w:p>
    <w:p>
      <w:pPr>
        <w:pStyle w:val="ListBullet"/>
        <w:spacing w:after="60"/>
      </w:pPr>
      <w:r>
        <w:t>Лиды есть, договоров мало — проверить доступ, доверие, договор, оплату, визуальное состояние и конкурентов.</w:t>
      </w:r>
    </w:p>
    <w:p>
      <w:pPr>
        <w:pStyle w:val="ListBullet"/>
        <w:spacing w:after="60"/>
      </w:pPr>
      <w:r>
        <w:t>После 3 месяцев база факта должна заменить сценарные предположения в Excel.</w:t>
      </w:r>
    </w:p>
    <w:p>
      <w:pPr>
        <w:pStyle w:val="Heading1"/>
      </w:pPr>
      <w:r>
        <w:t>8. Аварийные сценарии</w:t>
      </w:r>
    </w:p>
    <w:p>
      <w:pPr>
        <w:pStyle w:val="ListNumber"/>
        <w:spacing w:after="60"/>
      </w:pPr>
      <w:r>
        <w:t>Протечка / авария: блокировка доступа в зону, фиксация, уведомление клиентов, страховой протокол, подрядчик.</w:t>
      </w:r>
    </w:p>
    <w:p>
      <w:pPr>
        <w:pStyle w:val="ListNumber"/>
        <w:spacing w:after="60"/>
      </w:pPr>
      <w:r>
        <w:t>Отказ СКУД: резервный доступ по регламенту, журнал всех открытий, восстановление в SLA.</w:t>
      </w:r>
    </w:p>
    <w:p>
      <w:pPr>
        <w:pStyle w:val="ListNumber"/>
        <w:spacing w:after="60"/>
      </w:pPr>
      <w:r>
        <w:t>Пропала связь: резервный канал / локальный режим критических систем, уведомление поддержки.</w:t>
      </w:r>
    </w:p>
    <w:p>
      <w:pPr>
        <w:pStyle w:val="ListNumber"/>
        <w:spacing w:after="60"/>
      </w:pPr>
      <w:r>
        <w:t>Просрочка оплаты: автоматическое уведомление, срок на погашение, действия только по договору и закону.</w:t>
      </w:r>
    </w:p>
    <w:p>
      <w:pPr>
        <w:pStyle w:val="ListNumber"/>
        <w:spacing w:after="60"/>
      </w:pPr>
      <w:r>
        <w:t>Инцидент безопасности: сохранение архива CCTV, ограничение доступа, документирование, страховая/полиция при необходимости.</w:t>
      </w:r>
    </w:p>
    <w:p>
      <w:pPr>
        <w:pStyle w:val="Heading1"/>
      </w:pPr>
      <w:r>
        <w:t>9. Решение по сценарию</w:t>
      </w:r>
    </w:p>
    <w:p>
      <w:r>
        <w:rPr>
          <w:b/>
        </w:rPr>
        <w:t xml:space="preserve">Для собственного подходящего помещения: </w:t>
      </w:r>
      <w:r>
        <w:t>сценарий способен генерировать положительную операционную прибыль, но результат нужно сравнить с альтернативной арендой недвижимости.</w:t>
      </w:r>
    </w:p>
    <w:p>
      <w:r>
        <w:rPr>
          <w:b/>
        </w:rPr>
        <w:t xml:space="preserve">Для помещения по рыночной аренде 1 250 ₽/м²/мес.: </w:t>
      </w:r>
      <w:r>
        <w:t>данная конфигурация не проходит. MaxRent показывает, что аренда должна быть существенно ниже либо экономика объекта должна быть сильнее по тарифу, площади и OPEX.</w:t>
      </w:r>
    </w:p>
    <w:p>
      <w:r>
        <w:rPr>
          <w:b/>
          <w:color w:val="C99A42"/>
          <w:sz w:val="24"/>
        </w:rPr>
        <w:t>Вердикт: 🟡 ПЕРЕПРОВЕРИТЬ — ПОМЕЩЕНИЕ РЕШАЕТ.</w:t>
      </w:r>
    </w:p>
    <w:p>
      <w:pPr>
        <w:pStyle w:val="Heading1"/>
      </w:pPr>
      <w:r>
        <w:t>Источники и границы использования</w:t>
      </w:r>
    </w:p>
    <w:p>
      <w:r>
        <w:rPr>
          <w:b/>
          <w:color w:val="102238"/>
        </w:rPr>
        <w:t>Кладовкин — франшиза</w:t>
      </w:r>
      <w:r>
        <w:br/>
        <w:t>https://kladovkin.ru/franchise/</w:t>
        <w:br/>
        <w:t>Стоимость переоборудования от 8 000 ₽/м²; коммерческий пример 165 м², инвестиции 1,71 млн ₽, заполняемость 99%, окупаемость 17 месяцев. Используется только как коммерческий benchmark, не как независимая норма.</w:t>
      </w:r>
    </w:p>
    <w:p>
      <w:r>
        <w:rPr>
          <w:b/>
          <w:color w:val="102238"/>
        </w:rPr>
        <w:t>Safebox — франшиза</w:t>
      </w:r>
      <w:r>
        <w:br/>
        <w:t>https://safe-box.ru/franchise/</w:t>
        <w:br/>
        <w:t>Инвестиции от 11 500 ₽/м², рекомендуемая площадь от 200 м², роялти 10% выручки и рекламные отчисления 10%. Заявленные прибыль/окупаемость — маркетинговый пример оператора.</w:t>
      </w:r>
    </w:p>
    <w:p>
      <w:r>
        <w:rPr>
          <w:b/>
          <w:color w:val="102238"/>
        </w:rPr>
        <w:t>Складовка — текущие предложения</w:t>
      </w:r>
      <w:r>
        <w:br/>
        <w:t>https://www.skladovka.ru/hranenie-dlya-biznesa/sklad-s-nebolshoj-ploshchadyu/</w:t>
        <w:br/>
        <w:t>Примеры тарифов self-storage в Москве примерно 2 026–2 833 ₽/м²/мес. и выше в зависимости от объекта и площади.</w:t>
      </w:r>
    </w:p>
    <w:p>
      <w:r>
        <w:rPr>
          <w:b/>
          <w:color w:val="102238"/>
        </w:rPr>
        <w:t>Складовка — пример 27 м²</w:t>
      </w:r>
      <w:r>
        <w:br/>
        <w:t>https://www.skladovka.ru/hranenie-dlya-biznesa/price62100/</w:t>
        <w:br/>
        <w:t>62 100 ₽/мес., 2 300 ₽/м² — используется как проверка сценарного тарифа, а не как средняя рынка.</w:t>
      </w:r>
    </w:p>
    <w:p>
      <w:r>
        <w:rPr>
          <w:b/>
          <w:color w:val="102238"/>
        </w:rPr>
        <w:t>CORE.XP — Light Industrial IV кв. 2025</w:t>
      </w:r>
      <w:r>
        <w:br/>
        <w:t>https://core-xp.ru/upload/iblock/e33/lgxodxibme0gx03rlegemh2ox7ihuaan.pdf</w:t>
        <w:br/>
        <w:t>Средняя ставка аренды 14 935 ₽/м²/год в Московском регионе, операционные расходы включены, без НДС. Обзор не включает зону внутри МКАД и до 6 км.</w:t>
      </w:r>
    </w:p>
    <w:p>
      <w:r>
        <w:rPr>
          <w:b/>
          <w:color w:val="102238"/>
        </w:rPr>
        <w:t>Твой Склад — методология загрузки</w:t>
      </w:r>
      <w:r>
        <w:br/>
        <w:t>https://tvoysklad.com/tpost/rop02xzz61-90-zagruzki-ne-vsegda-uspeh-kak-otseniva</w:t>
        <w:br/>
        <w:t>Высокая физическая загрузка сама по себе не гарантирует хороший результат; важно считать occupancy по площади, выручку, микс боксов и платежную дисциплину.</w:t>
      </w:r>
    </w:p>
    <w:p>
      <w:r>
        <w:rPr>
          <w:b/>
        </w:rPr>
        <w:t xml:space="preserve">Граница интерпретации: </w:t>
      </w:r>
      <w:r>
        <w:t>цены операторов, франшизные расчёты и коммерческие кейсы не являются независимой статистикой и не используются как обещание доходности. Все числа проекта, которых нет во внешних источниках, помечены как сценарные допущения.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5"/>
      </w:rPr>
      <w:t>Бизнес под микроскопом  ·  Self-storage 2026  ·  Разбираем. Анализируем. Объясняем.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B31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102238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Georgia" w:hAnsi="Georgia"/>
      <w:b w:val="0"/>
      <w:bCs/>
      <w:color w:val="10223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Georgia" w:hAnsi="Georgia"/>
      <w:b w:val="0"/>
      <w:bCs/>
      <w:color w:val="C99A4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Georgia" w:hAnsi="Georgia"/>
      <w:b w:val="0"/>
      <w:color w:val="102238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