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F59E0B"/>
          <w:sz w:val="18"/>
        </w:rPr>
        <w:t>СТАРТАПЫ  /  РАЗБОР КЕЙСА</w:t>
      </w:r>
    </w:p>
    <w:p>
      <w:pPr>
        <w:pStyle w:val="Title"/>
      </w:pPr>
      <w:r>
        <w:t>Stilla.ai: как стартап с $5 млн инвестиций оказался нужен Meta</w:t>
      </w:r>
    </w:p>
    <w:p>
      <w:r>
        <w:rPr>
          <w:color w:val="667085"/>
          <w:sz w:val="23"/>
        </w:rPr>
        <w:t>Досье продукта, команды, технологии и логики сделки — с отделением подтверждённых фактов от редакционных выводов.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240"/>
            <w:shd w:fill="F5F5F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667085"/>
                <w:sz w:val="15"/>
              </w:rPr>
              <w:t>Дата фактчека</w:t>
              <w:br/>
            </w:r>
            <w:r>
              <w:rPr>
                <w:b/>
                <w:color w:val="161A1D"/>
                <w:sz w:val="19"/>
              </w:rPr>
              <w:t>15.09.2026</w:t>
            </w:r>
          </w:p>
        </w:tc>
        <w:tc>
          <w:tcPr>
            <w:tcW w:type="dxa" w:w="3240"/>
            <w:shd w:fill="F5F5F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667085"/>
                <w:sz w:val="15"/>
              </w:rPr>
              <w:t>Статус сделки</w:t>
              <w:br/>
            </w:r>
            <w:r>
              <w:rPr>
                <w:b/>
                <w:color w:val="161A1D"/>
                <w:sz w:val="19"/>
              </w:rPr>
              <w:t>объявлена; условия не раскрыты</w:t>
            </w:r>
          </w:p>
        </w:tc>
        <w:tc>
          <w:tcPr>
            <w:tcW w:type="dxa" w:w="3240"/>
            <w:shd w:fill="F5F5F2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r>
              <w:rPr>
                <w:b/>
                <w:color w:val="667085"/>
                <w:sz w:val="15"/>
              </w:rPr>
              <w:t>Ключевой факт</w:t>
              <w:br/>
            </w:r>
            <w:r>
              <w:rPr>
                <w:b/>
                <w:color w:val="161A1D"/>
                <w:sz w:val="19"/>
              </w:rPr>
              <w:t>$5 млн pre-seed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rPr>
          <w:tblHeader w:val="true"/>
          <w:cantSplit/>
        </w:trPr>
        <w:tc>
          <w:tcPr>
            <w:tcW w:type="dxa" w:w="10166"/>
            <w:shd w:fill="FFF8E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59E0B"/>
                <w:sz w:val="16"/>
              </w:rPr>
              <w:t>ГЛАВНЫЙ ВЫВОД</w:t>
              <w:br/>
            </w:r>
            <w:r>
              <w:rPr>
                <w:color w:val="161A1D"/>
                <w:sz w:val="19"/>
              </w:rPr>
              <w:t>Meta заинтересовалась не «ещё одним чат-ботом», а узкой компетенцией: AI-агентом, который удерживает общий контекст компании между инструментами и умеет превращать контекст в действия. Публично подтверждены $5 млн pre-seed, команда и технология Stilla, а также цель усилить Meta Business Agent. Цена сделки, выручка Stilla и её фактический burn не раскрыты — их нельзя восстанавливать как факты.</w:t>
            </w:r>
          </w:p>
        </w:tc>
      </w:tr>
    </w:tbl>
    <w:p/>
    <w:p>
      <w:pPr>
        <w:pStyle w:val="Heading1"/>
      </w:pPr>
      <w:r>
        <w:t>1. Что произошло</w:t>
      </w:r>
    </w:p>
    <w:p>
      <w:r>
        <w:t>9 сентября 2026 года Stilla сообщила, что присоединяется к Meta. Axios описал событие как приобретение шведского AI-стартапа для ускорения Meta Business Agent — системы для взаимодействия компаний с клиентами в WhatsApp, Messenger и Instagram. По Axios, команда и технология должны перейти в Meta после закрытия сделки; финансовые условия не раскрыты.</w:t>
      </w:r>
    </w:p>
    <w:p>
      <w:pPr>
        <w:pStyle w:val="Heading1"/>
      </w:pPr>
      <w:r>
        <w:t>2. Фактчек: что подтверждено, а что нет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4680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Факт</w:t>
            </w:r>
          </w:p>
        </w:tc>
        <w:tc>
          <w:tcPr>
            <w:tcW w:type="dxa" w:w="1800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Статус</w:t>
            </w:r>
          </w:p>
        </w:tc>
        <w:tc>
          <w:tcPr>
            <w:tcW w:type="dxa" w:w="3384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Основание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Stilla основана в Стокгольме в 2024 году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Подтверждено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Axios; General Catalyst / Tech.eu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$5 млн pre-seed в январе 2026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Подтверждено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Stilla; General Catalyst; Tech.eu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Раунд возглавил General Catalyst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Подтверждено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Stilla; General Catalyst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Сооснователи — Siavash Ghorbani и Kaj Drobin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Подтверждено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Stilla; General Catalyst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До Stilla они были сооснователями Tictail; после покупки Tictail Shopify работали над Shop / Shop Pay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Подтверждено инвестором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General Catalyst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Stilla — multiplayer AI agent с общим контекстом и действиями между рабочими инструментами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Подтверждено продуктом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Stilla docs / сайт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Meta приобретает Stilla для ускорения Meta Business Agent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Подтверждено сообщением Axios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Axios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Meta Business Agent используется более чем 1 млн компаний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Сообщение Meta через Axios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Axios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Цена приобретения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Не раскрыта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Не подставлять оценку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Выручка, ARR, burn, runway Stilla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Не раскрыты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Не вычислять как факт</w:t>
            </w:r>
          </w:p>
        </w:tc>
      </w:tr>
      <w:tr>
        <w:trPr>
          <w:cantSplit/>
        </w:trPr>
        <w:tc>
          <w:tcPr>
            <w:tcW w:type="dxa" w:w="46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Точная структура сделки / доли / earn-out</w:t>
            </w:r>
          </w:p>
        </w:tc>
        <w:tc>
          <w:tcPr>
            <w:tcW w:type="dxa" w:w="18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Не раскрыта</w:t>
            </w:r>
          </w:p>
        </w:tc>
        <w:tc>
          <w:tcPr>
            <w:tcW w:type="dxa" w:w="33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Не делать выводов</w:t>
            </w:r>
          </w:p>
        </w:tc>
      </w:tr>
    </w:tbl>
    <w:p/>
    <w:p>
      <w:pPr>
        <w:pStyle w:val="Heading1"/>
      </w:pPr>
      <w:r>
        <w:t>3. Хронология: от основания до Meta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584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Период</w:t>
            </w:r>
          </w:p>
        </w:tc>
        <w:tc>
          <w:tcPr>
            <w:tcW w:type="dxa" w:w="2880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Событие</w:t>
            </w:r>
          </w:p>
        </w:tc>
        <w:tc>
          <w:tcPr>
            <w:tcW w:type="dxa" w:w="5400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Почему важно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2024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Stilla создана в Стокгольме.</w:t>
            </w:r>
          </w:p>
        </w:tc>
        <w:tc>
          <w:tcPr>
            <w:tcW w:type="dxa" w:w="54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Команда входит в новый рынок не «с нуля»: у основателей уже есть опыт продуктовой и commerce-инфраструктуры.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2025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Разработка и работа с ранними командами / design partners.</w:t>
            </w:r>
          </w:p>
        </w:tc>
        <w:tc>
          <w:tcPr>
            <w:tcW w:type="dxa" w:w="54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Проверка проблемы в реальных продуктовых командах до публичного масштабирования.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20.01.2026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Выход из stealth и $5 млн pre-seed.</w:t>
            </w:r>
          </w:p>
        </w:tc>
        <w:tc>
          <w:tcPr>
            <w:tcW w:type="dxa" w:w="54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Деньги направляются на слой общей контекстной инфраструктуры и интеграции.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2026, первые 8 месяцев после запуска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Расширение функций: shared context, meeting notes, agents, actions, integrations, security.</w:t>
            </w:r>
          </w:p>
        </w:tc>
        <w:tc>
          <w:tcPr>
            <w:tcW w:type="dxa" w:w="54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Стартап строит не одну функцию, а инфраструктурный слой вокруг узкой проблемы — координации.</w:t>
            </w:r>
          </w:p>
        </w:tc>
      </w:tr>
      <w:tr>
        <w:trPr>
          <w:cantSplit/>
        </w:trPr>
        <w:tc>
          <w:tcPr>
            <w:tcW w:type="dxa" w:w="1584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09.09.2026</w:t>
            </w:r>
          </w:p>
        </w:tc>
        <w:tc>
          <w:tcPr>
            <w:tcW w:type="dxa" w:w="288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Stilla объявляет о присоединении к Meta; Axios сообщает о покупке.</w:t>
            </w:r>
          </w:p>
        </w:tc>
        <w:tc>
          <w:tcPr>
            <w:tcW w:type="dxa" w:w="540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Стратегическая ценность проявилась раньше, чем публичная история компании успела стать длинной.</w:t>
            </w:r>
          </w:p>
        </w:tc>
      </w:tr>
    </w:tbl>
    <w:p/>
    <w:p>
      <w:pPr>
        <w:pStyle w:val="Heading1"/>
      </w:pPr>
      <w:r>
        <w:t>4. Что Stilla на самом деле продавала</w:t>
      </w:r>
    </w:p>
    <w:p>
      <w:r>
        <w:t>Маркетинговая формулировка Stilla — «multiplayer AI». Практически это означает не персонального помощника, а общую рабочую память и слой действий для команды.</w:t>
      </w:r>
    </w:p>
    <w:p>
      <w:pPr>
        <w:pStyle w:val="ListBullet"/>
        <w:spacing w:after="40"/>
      </w:pPr>
      <w:r>
        <w:t>Контекст между Slack, Linear, GitHub, Notion, Google Drive, Gmail и другими системами — чтобы агенту не приходилось каждый раз заново объяснять историю проекта.</w:t>
      </w:r>
    </w:p>
    <w:p>
      <w:pPr>
        <w:pStyle w:val="ListBullet"/>
        <w:spacing w:after="40"/>
      </w:pPr>
      <w:r>
        <w:t>Действия, а не только ответы: создание и обновление задач, черновики PR, обновление документов, сообщения и автоматизации.</w:t>
      </w:r>
    </w:p>
    <w:p>
      <w:pPr>
        <w:pStyle w:val="ListBullet"/>
        <w:spacing w:after="40"/>
      </w:pPr>
      <w:r>
        <w:t>Работа внутри привычных каналов команды — упоминания в Slack/GitHub/Linear, а не обязательный переход в отдельный интерфейс.</w:t>
      </w:r>
    </w:p>
    <w:p>
      <w:pPr>
        <w:pStyle w:val="ListBullet"/>
        <w:spacing w:after="40"/>
      </w:pPr>
      <w:r>
        <w:t>Контроль доступа и enterprise-контур: на публичном сайте Stilla заявляет SOC 2 Type II, SSO/SCIM и гранулярные настройки для Enterprise.</w:t>
      </w:r>
    </w:p>
    <w:p>
      <w:pPr>
        <w:pStyle w:val="ListBullet"/>
        <w:spacing w:after="40"/>
      </w:pPr>
      <w:r>
        <w:t>Расширяемость: публичная документация перечисляет 35+ интеграций и поддержку MCP; маркетинговая страница заявляет работу с 3 000+ инструментов. Это разные уровни описания, поэтому их нельзя механически считать одинаковой метрикой.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rPr>
          <w:tblHeader w:val="true"/>
          <w:cantSplit/>
        </w:trPr>
        <w:tc>
          <w:tcPr>
            <w:tcW w:type="dxa" w:w="10166"/>
            <w:shd w:fill="FFF8E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59E0B"/>
                <w:sz w:val="16"/>
              </w:rPr>
              <w:t>ПРОСТЫМИ СЛОВАМИ</w:t>
              <w:br/>
            </w:r>
            <w:r>
              <w:rPr>
                <w:color w:val="161A1D"/>
                <w:sz w:val="19"/>
              </w:rPr>
              <w:t>Stilla пыталась решить не проблему «как получить хороший ответ от ИИ», а проблему «как дать ИИ и людям одну актуальную картину работы компании и превратить её в действия». Именно такая способность хорошо стыкуется с бизнес-агентом Meta, который должен не просто разговаривать с клиентом, а понимать контекст и доводить диалог до результата.</w:t>
            </w:r>
          </w:p>
        </w:tc>
      </w:tr>
    </w:tbl>
    <w:p/>
    <w:p>
      <w:pPr>
        <w:pStyle w:val="Heading1"/>
      </w:pPr>
      <w:r>
        <w:t>5. Что представляло ценность для Meta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1656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Компонент</w:t>
            </w:r>
          </w:p>
        </w:tc>
        <w:tc>
          <w:tcPr>
            <w:tcW w:type="dxa" w:w="3672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Что подтверждено</w:t>
            </w:r>
          </w:p>
        </w:tc>
        <w:tc>
          <w:tcPr>
            <w:tcW w:type="dxa" w:w="4536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Редакционный вывод</w:t>
            </w:r>
          </w:p>
        </w:tc>
      </w:tr>
      <w:tr>
        <w:trPr>
          <w:cantSplit/>
        </w:trPr>
        <w:tc>
          <w:tcPr>
            <w:tcW w:type="dxa" w:w="16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Команда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Meta получает команду Stilla; основатели имеют опыт Tictail/Shopify.</w:t>
            </w:r>
          </w:p>
        </w:tc>
        <w:tc>
          <w:tcPr>
            <w:tcW w:type="dxa" w:w="453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Для платформы важна не только модель ИИ, а люди, которые уже строили commerce-продукты и масштабируемые workflow-системы.</w:t>
            </w:r>
          </w:p>
        </w:tc>
      </w:tr>
      <w:tr>
        <w:trPr>
          <w:cantSplit/>
        </w:trPr>
        <w:tc>
          <w:tcPr>
            <w:tcW w:type="dxa" w:w="16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Shared context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Stilla строит общий контекст между инструментами и людьми.</w:t>
            </w:r>
          </w:p>
        </w:tc>
        <w:tc>
          <w:tcPr>
            <w:tcW w:type="dxa" w:w="453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Для коммерческого агента это может уменьшать «потерю памяти» между каталогом, политиками, историей общения и внутренними действиями.</w:t>
            </w:r>
          </w:p>
        </w:tc>
      </w:tr>
      <w:tr>
        <w:trPr>
          <w:cantSplit/>
        </w:trPr>
        <w:tc>
          <w:tcPr>
            <w:tcW w:type="dxa" w:w="16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Action layer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Stilla умеет выполнять действия в подключённых системах.</w:t>
            </w:r>
          </w:p>
        </w:tc>
        <w:tc>
          <w:tcPr>
            <w:tcW w:type="dxa" w:w="453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Business Agent ценнее, если он способен не только ответить, но и инициировать бизнес-процесс или транзакционный шаг.</w:t>
            </w:r>
          </w:p>
        </w:tc>
      </w:tr>
      <w:tr>
        <w:trPr>
          <w:cantSplit/>
        </w:trPr>
        <w:tc>
          <w:tcPr>
            <w:tcW w:type="dxa" w:w="16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Интеграции и permissions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Публично описаны интеграции, MCP и контроль прав.</w:t>
            </w:r>
          </w:p>
        </w:tc>
        <w:tc>
          <w:tcPr>
            <w:tcW w:type="dxa" w:w="453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Для платформы с миллионами бизнес-пользователей интеграционная и permission-модель — отдельный актив.</w:t>
            </w:r>
          </w:p>
        </w:tc>
      </w:tr>
      <w:tr>
        <w:trPr>
          <w:cantSplit/>
        </w:trPr>
        <w:tc>
          <w:tcPr>
            <w:tcW w:type="dxa" w:w="165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Раннее подтверждение спроса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Stilla и инвестор называют Spotify, Ramp, Lovable, Legora и другие команды среди пользователей/партнёров.</w:t>
            </w:r>
          </w:p>
        </w:tc>
        <w:tc>
          <w:tcPr>
            <w:tcW w:type="dxa" w:w="4536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Крупные design partners дают быстрый сигнал: проблема существует в сложных организациях, а не только в демо.</w:t>
            </w:r>
          </w:p>
        </w:tc>
      </w:tr>
    </w:tbl>
    <w:p/>
    <w:p>
      <w:pPr>
        <w:pStyle w:val="SmallNote"/>
      </w:pPr>
      <w:r>
        <w:t>Важно: колонка «Редакционный вывод» — аналитическая интерпретация проекта «Бизнес под микроскопом», а не раскрытая Meta мотивация по каждому пункту.</w:t>
      </w:r>
    </w:p>
    <w:p>
      <w:pPr>
        <w:pStyle w:val="Heading1"/>
      </w:pPr>
      <w:r>
        <w:t>6. Почему маленький стартап может стать стратегически важным</w:t>
      </w:r>
    </w:p>
    <w:p>
      <w:pPr>
        <w:pStyle w:val="ListNumber"/>
        <w:spacing w:after="40"/>
      </w:pPr>
      <w:r>
        <w:t>Решать узкий, дорогой bottleneck. Stilla не пыталась быть «универсальным ИИ для всего»; её ядром стал общий контекст и координация.</w:t>
      </w:r>
    </w:p>
    <w:p>
      <w:pPr>
        <w:pStyle w:val="ListNumber"/>
        <w:spacing w:after="40"/>
      </w:pPr>
      <w:r>
        <w:t>Встроиться в существующий workflow. Продукт живёт там, где уже работают пользователи, и тем самым снижает стоимость смены поведения.</w:t>
      </w:r>
    </w:p>
    <w:p>
      <w:pPr>
        <w:pStyle w:val="ListNumber"/>
        <w:spacing w:after="40"/>
      </w:pPr>
      <w:r>
        <w:t>Сделать технологию частью процесса, а не отдельной игрушкой. Чем ближе продукт к критическому workflow, тем выше стратегическая ценность компетенции.</w:t>
      </w:r>
    </w:p>
    <w:p>
      <w:pPr>
        <w:pStyle w:val="ListNumber"/>
        <w:spacing w:after="40"/>
      </w:pPr>
      <w:r>
        <w:t>Наращивать доказательства через сильных design partners. Ранний логотип сам по себе не равен PMF, но качественный партнёр ускоряет проверку сложных требований.</w:t>
      </w:r>
    </w:p>
    <w:p>
      <w:pPr>
        <w:pStyle w:val="ListNumber"/>
        <w:spacing w:after="40"/>
      </w:pPr>
      <w:r>
        <w:t>Строить trust-инфраструктуру раньше масштабирования. Permissions, аудит и безопасность становятся частью продукта, если агент получает доступ к внутренним системам.</w:t>
      </w:r>
    </w:p>
    <w:p>
      <w:pPr>
        <w:pStyle w:val="ListNumber"/>
        <w:spacing w:after="40"/>
      </w:pPr>
      <w:r>
        <w:t>Создавать актив, который усиливает чужую платформу. Хороший стратегический актив отвечает на вопрос: «что крупная компания сможет сделать быстрее или лучше, если получит эту технологию и команду?»</w:t>
      </w:r>
    </w:p>
    <w:p>
      <w:pPr>
        <w:pStyle w:val="Heading1"/>
      </w:pPr>
      <w:r>
        <w:t>7. Что нельзя выучить из этого кейса неправильно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2232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Ошибочный вывод</w:t>
            </w:r>
          </w:p>
        </w:tc>
        <w:tc>
          <w:tcPr>
            <w:tcW w:type="dxa" w:w="3672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Почему это ошибка</w:t>
            </w:r>
          </w:p>
        </w:tc>
        <w:tc>
          <w:tcPr>
            <w:tcW w:type="dxa" w:w="3960"/>
            <w:shd w:fill="161A1D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b/>
                <w:color w:val="FFFFFF"/>
                <w:sz w:val="16"/>
              </w:rPr>
              <w:t>Корректный урок</w:t>
            </w:r>
          </w:p>
        </w:tc>
      </w:tr>
      <w:tr>
        <w:trPr>
          <w:cantSplit/>
        </w:trPr>
        <w:tc>
          <w:tcPr>
            <w:tcW w:type="dxa" w:w="223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«Нужно поднять $5 млн — и купит Big Tech»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Финансирование не доказывает продуктовую ценность.</w:t>
            </w:r>
          </w:p>
        </w:tc>
        <w:tc>
          <w:tcPr>
            <w:tcW w:type="dxa" w:w="396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Раунд даёт ресурс на проверку; стратегическую ценность создаёт компетенция и доказательства.</w:t>
            </w:r>
          </w:p>
        </w:tc>
      </w:tr>
      <w:tr>
        <w:trPr>
          <w:cantSplit/>
        </w:trPr>
        <w:tc>
          <w:tcPr>
            <w:tcW w:type="dxa" w:w="223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«Достаточно сделать AI-wrapper»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Stilla позиционирует себя как инфраструктуру контекста, действий и интеграций.</w:t>
            </w:r>
          </w:p>
        </w:tc>
        <w:tc>
          <w:tcPr>
            <w:tcW w:type="dxa" w:w="396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Нужна труднокопируемая связка технологии, workflow и данных/контекста.</w:t>
            </w:r>
          </w:p>
        </w:tc>
      </w:tr>
      <w:tr>
        <w:trPr>
          <w:cantSplit/>
        </w:trPr>
        <w:tc>
          <w:tcPr>
            <w:tcW w:type="dxa" w:w="223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«Цена сделки наверняка большая»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Сумма не раскрыта.</w:t>
            </w:r>
          </w:p>
        </w:tc>
        <w:tc>
          <w:tcPr>
            <w:tcW w:type="dxa" w:w="396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Не строить выводы о доходности инвесторов без условий сделки.</w:t>
            </w:r>
          </w:p>
        </w:tc>
      </w:tr>
      <w:tr>
        <w:trPr>
          <w:cantSplit/>
        </w:trPr>
        <w:tc>
          <w:tcPr>
            <w:tcW w:type="dxa" w:w="223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«1 000+ компаний = подтверждённая выручка»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Это маркетинговое заявление о доверии/использовании, а не раскрытый ARR.</w:t>
            </w:r>
          </w:p>
        </w:tc>
        <w:tc>
          <w:tcPr>
            <w:tcW w:type="dxa" w:w="396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pPr>
              <w:spacing w:after="0"/>
            </w:pPr>
            <w:r>
              <w:rPr>
                <w:sz w:val="16"/>
              </w:rPr>
              <w:t>Отделять usage/logo signal от монетизации.</w:t>
            </w:r>
          </w:p>
        </w:tc>
      </w:tr>
      <w:tr>
        <w:trPr>
          <w:cantSplit/>
        </w:trPr>
        <w:tc>
          <w:tcPr>
            <w:tcW w:type="dxa" w:w="223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«Надо строить на продажу корпорации»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Стратегический покупатель появляется только если продукт решает реальную задачу.</w:t>
            </w:r>
          </w:p>
        </w:tc>
        <w:tc>
          <w:tcPr>
            <w:tcW w:type="dxa" w:w="3960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  <w:shd w:fill="FAFAF8"/>
          </w:tcPr>
          <w:p>
            <w:pPr>
              <w:spacing w:after="0"/>
            </w:pPr>
            <w:r>
              <w:rPr>
                <w:sz w:val="16"/>
              </w:rPr>
              <w:t>Строить самостоятельную ценность; опциональность сделки — следствие.</w:t>
            </w:r>
          </w:p>
        </w:tc>
      </w:tr>
    </w:tbl>
    <w:p/>
    <w:p>
      <w:pPr>
        <w:pStyle w:val="Heading1"/>
      </w:pPr>
      <w:r>
        <w:t>8. Что это значит для российского малого технологического бизнеса</w:t>
      </w:r>
    </w:p>
    <w:p>
      <w:r>
        <w:t>Копировать Stilla буквально не нужно. Переносим механики.</w:t>
      </w:r>
    </w:p>
    <w:p>
      <w:pPr>
        <w:pStyle w:val="ListBullet"/>
        <w:spacing w:after="40"/>
      </w:pPr>
      <w:r>
        <w:t>Искать «стык систем», где теряется контекст: CRM &lt;-&gt; 1С &lt;-&gt; поддержка &lt;-&gt; задачи &lt;-&gt; документы. Именно на стыках часто остаётся ручная работа, которую сложно закрыть обычным чат-ботом.</w:t>
      </w:r>
    </w:p>
    <w:p>
      <w:pPr>
        <w:pStyle w:val="ListBullet"/>
        <w:spacing w:after="40"/>
      </w:pPr>
      <w:r>
        <w:t>Начинать с одного вертикального workflow — например, обработка рекламаций, коммерческих предложений, сервисных заявок или закупочных согласований — и доказывать ценность на 3–5 компаниях.</w:t>
      </w:r>
    </w:p>
    <w:p>
      <w:pPr>
        <w:pStyle w:val="ListBullet"/>
        <w:spacing w:after="40"/>
      </w:pPr>
      <w:r>
        <w:t>Считать не «сколько ответов дал ИИ», а бизнес-метрику: время цикла, процент ручных передач, ошибки, SLA, стоимость обработки, долю завершённых действий.</w:t>
      </w:r>
    </w:p>
    <w:p>
      <w:pPr>
        <w:pStyle w:val="ListBullet"/>
        <w:spacing w:after="40"/>
      </w:pPr>
      <w:r>
        <w:t>Сразу определить границы доступа, журнал действий, подтверждение критических операций и хранение данных. Для российских заказчиков отдельно проверять требования к ПДн, коммерческой тайне и инфраструктуре.</w:t>
      </w:r>
    </w:p>
    <w:p>
      <w:pPr>
        <w:pStyle w:val="ListBullet"/>
        <w:spacing w:after="40"/>
      </w:pPr>
      <w:r>
        <w:t>Создавать интеграционную архитектуру так, чтобы новый коннектор не требовал переписывать продукт. Это повышает и самостоятельную ценность, и вероятность стратегического партнёрства.</w:t>
      </w:r>
    </w:p>
    <w:p>
      <w:pPr>
        <w:pStyle w:val="ListBullet"/>
        <w:spacing w:after="40"/>
      </w:pPr>
      <w:r>
        <w:t>Документировать повторяемую компетенцию команды: почему именно этот стартап быстрее и надёжнее решает конкретную техническую задачу.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rPr>
          <w:tblHeader w:val="true"/>
          <w:cantSplit/>
        </w:trPr>
        <w:tc>
          <w:tcPr>
            <w:tcW w:type="dxa" w:w="10166"/>
            <w:shd w:fill="FFF8E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59E0B"/>
                <w:sz w:val="16"/>
              </w:rPr>
              <w:t>ПРАКТИЧЕСКИЙ КРИТЕРИЙ</w:t>
              <w:br/>
            </w:r>
            <w:r>
              <w:rPr>
                <w:color w:val="161A1D"/>
                <w:sz w:val="19"/>
              </w:rPr>
            </w:r>
            <w:r>
              <w:rPr>
                <w:b w:val="0"/>
                <w:color w:val="161A1D"/>
                <w:sz w:val="19"/>
              </w:rPr>
              <w:t>Практическая эвристика: если потенциальный крупный партнёр может описать ваш продукт как «это закрывает конкретный пробел в нашей платформе и заметно сокращает нам путь разработки и внедрения», у стартапа появляется стратегическая ценность. Это не раскрытая логика сделки Meta, а рабочий критерий для оценки технологической комплементарности. Если описание звучит только как «у них тоже есть ИИ», защиты почти нет.</w:t>
            </w:r>
          </w:p>
        </w:tc>
      </w:tr>
    </w:tbl>
    <w:p/>
    <w:p>
      <w:pPr>
        <w:pStyle w:val="Heading1"/>
      </w:pPr>
      <w:r>
        <w:t>9. Контрольные вопросы для своего стартапа</w:t>
      </w:r>
    </w:p>
    <w:p>
      <w:pPr>
        <w:spacing w:after="40"/>
      </w:pPr>
      <w:r>
        <w:t>1.  Какую одну компетенцию мы умеем делать заметно лучше общего рынка?</w:t>
      </w:r>
    </w:p>
    <w:p>
      <w:pPr>
        <w:spacing w:after="40"/>
      </w:pPr>
      <w:r>
        <w:t>2.  Какой измеримый бизнес-процесс улучшается благодаря продукту?</w:t>
      </w:r>
    </w:p>
    <w:p>
      <w:pPr>
        <w:spacing w:after="40"/>
      </w:pPr>
      <w:r>
        <w:t>3.  Что в нашем продукте требует накопленного контекста, интеграций, данных или специфического know-how?</w:t>
      </w:r>
    </w:p>
    <w:p>
      <w:pPr>
        <w:spacing w:after="40"/>
      </w:pPr>
      <w:r>
        <w:t>4.  Есть ли 3–5 design partners, которые готовы дать доступ к реальному workflow?</w:t>
      </w:r>
    </w:p>
    <w:p>
      <w:pPr>
        <w:spacing w:after="40"/>
      </w:pPr>
      <w:r>
        <w:t>5.  Какой показатель докажет ценность за 30 дней?</w:t>
      </w:r>
    </w:p>
    <w:p>
      <w:pPr>
        <w:spacing w:after="40"/>
      </w:pPr>
      <w:r>
        <w:t>6.  Какие права доступа и ошибки делают продукт неприемлемым без trust-слоя?</w:t>
      </w:r>
    </w:p>
    <w:p>
      <w:pPr>
        <w:spacing w:after="40"/>
      </w:pPr>
      <w:r>
        <w:t>7.  Кому из крупных платформ наша компетенция потенциально комплементарна — и почему?</w:t>
      </w:r>
    </w:p>
    <w:p>
      <w:pPr>
        <w:spacing w:after="40"/>
      </w:pPr>
      <w:r>
        <w:t>8.  Может ли продукт жить самостоятельно, если стратегической сделки никогда не будет?</w:t>
      </w:r>
    </w:p>
    <w:p>
      <w:pPr>
        <w:pStyle w:val="Heading1"/>
      </w:pPr>
      <w:r>
        <w:t>10. Источники и границы фактчека</w:t>
      </w:r>
    </w:p>
    <w:p>
      <w:pPr>
        <w:pStyle w:val="SmallNote"/>
      </w:pPr>
      <w:r>
        <w:t xml:space="preserve">Stilla — «Stilla is joining Meta to reshape business AI» — </w:t>
      </w:r>
      <w:hyperlink r:id="rId11">
        <w:r>
          <w:rPr>
            <w:color w:val="175CD3"/>
            <w:u w:val="single"/>
          </w:rPr>
          <w:t>https://stilla.ai/blog/stilla-is-joining-meta</w:t>
        </w:r>
      </w:hyperlink>
    </w:p>
    <w:p>
      <w:pPr>
        <w:pStyle w:val="SmallNote"/>
      </w:pPr>
      <w:r>
        <w:t xml:space="preserve">Axios — «Meta acquires Swedish AI startup Stilla.ai» — </w:t>
      </w:r>
      <w:hyperlink r:id="rId12">
        <w:r>
          <w:rPr>
            <w:color w:val="175CD3"/>
            <w:u w:val="single"/>
          </w:rPr>
          <w:t>https://www.axios.com/2026/09/09/meta-acquires-swedish-ai-startup-stillaai</w:t>
        </w:r>
      </w:hyperlink>
    </w:p>
    <w:p>
      <w:pPr>
        <w:pStyle w:val="SmallNote"/>
      </w:pPr>
      <w:r>
        <w:t xml:space="preserve">Stilla — «Announcing Our $5M Pre-Seed» — </w:t>
      </w:r>
      <w:hyperlink r:id="rId13">
        <w:r>
          <w:rPr>
            <w:color w:val="175CD3"/>
            <w:u w:val="single"/>
          </w:rPr>
          <w:t>https://stilla.ai/blog/announcing-our-seed-funding</w:t>
        </w:r>
      </w:hyperlink>
    </w:p>
    <w:p>
      <w:pPr>
        <w:pStyle w:val="SmallNote"/>
      </w:pPr>
      <w:r>
        <w:t xml:space="preserve">General Catalyst — «Seeding the Future with Stilla» — </w:t>
      </w:r>
      <w:hyperlink r:id="rId14">
        <w:r>
          <w:rPr>
            <w:color w:val="175CD3"/>
            <w:u w:val="single"/>
          </w:rPr>
          <w:t>https://www.generalcatalyst.com/stories/seeding-the-future-with-stilla</w:t>
        </w:r>
      </w:hyperlink>
    </w:p>
    <w:p>
      <w:pPr>
        <w:pStyle w:val="SmallNote"/>
      </w:pPr>
      <w:r>
        <w:t xml:space="preserve">Tech.eu — funding / product background — </w:t>
      </w:r>
      <w:hyperlink r:id="rId15">
        <w:r>
          <w:rPr>
            <w:color w:val="175CD3"/>
            <w:u w:val="single"/>
          </w:rPr>
          <w:t>https://tech.eu/2026/01/20/stilla-emerges-from-stealth-with-5m-to-address-collaboration-challenges-in-ai-driven-companies/</w:t>
        </w:r>
      </w:hyperlink>
    </w:p>
    <w:p>
      <w:pPr>
        <w:pStyle w:val="SmallNote"/>
      </w:pPr>
      <w:r>
        <w:t xml:space="preserve">Stilla Docs — product / integrations — </w:t>
      </w:r>
      <w:hyperlink r:id="rId16">
        <w:r>
          <w:rPr>
            <w:color w:val="175CD3"/>
            <w:u w:val="single"/>
          </w:rPr>
          <w:t>https://stilla.ai/docs</w:t>
        </w:r>
      </w:hyperlink>
    </w:p>
    <w:p>
      <w:pPr>
        <w:pStyle w:val="SmallNote"/>
      </w:pPr>
      <w:r>
        <w:t xml:space="preserve">Stilla — current product page — </w:t>
      </w:r>
      <w:hyperlink r:id="rId17">
        <w:r>
          <w:rPr>
            <w:color w:val="175CD3"/>
            <w:u w:val="single"/>
          </w:rPr>
          <w:t>https://stilla.ai/</w:t>
        </w:r>
      </w:hyperlink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166"/>
      </w:tblGrid>
      <w:tr>
        <w:trPr>
          <w:tblHeader w:val="true"/>
          <w:cantSplit/>
        </w:trPr>
        <w:tc>
          <w:tcPr>
            <w:tcW w:type="dxa" w:w="10166"/>
            <w:shd w:fill="FFF8E7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color w:val="F59E0B"/>
                <w:sz w:val="16"/>
              </w:rPr>
              <w:t>ГРАНИЦА ДАННЫХ</w:t>
              <w:br/>
            </w:r>
            <w:r>
              <w:rPr>
                <w:color w:val="161A1D"/>
                <w:sz w:val="19"/>
              </w:rPr>
              <w:t>В открытых источниках на дату фактчека не раскрыты цена сделки, выручка/ARR Stilla, burn rate, фактический runway и структура возврата инвесторам. В финансовой модели комплекта эти показатели не выдаются за факты: отдельный сценарный блок предназначен для проверки аналогичного небольшого B2B AI-проекта.</w:t>
            </w:r>
          </w:p>
        </w:tc>
      </w:tr>
    </w:tbl>
    <w:p/>
    <w:sectPr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5"/>
      </w:rPr>
      <w:t>bizmicroscope.ru  •  Фактчек: 15.09.2026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F59E0B"/>
        <w:sz w:val="16"/>
      </w:rPr>
      <w:t>БИЗНЕС ПОД МИКРОСКОПОМ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61A1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1A1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61A1D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F59E0B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61A1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667085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tilla.ai/blog/stilla-is-joining-meta" TargetMode="External"/><Relationship Id="rId12" Type="http://schemas.openxmlformats.org/officeDocument/2006/relationships/hyperlink" Target="https://www.axios.com/2026/09/09/meta-acquires-swedish-ai-startup-stillaai" TargetMode="External"/><Relationship Id="rId13" Type="http://schemas.openxmlformats.org/officeDocument/2006/relationships/hyperlink" Target="https://stilla.ai/blog/announcing-our-seed-funding" TargetMode="External"/><Relationship Id="rId14" Type="http://schemas.openxmlformats.org/officeDocument/2006/relationships/hyperlink" Target="https://www.generalcatalyst.com/stories/seeding-the-future-with-stilla" TargetMode="External"/><Relationship Id="rId15" Type="http://schemas.openxmlformats.org/officeDocument/2006/relationships/hyperlink" Target="https://tech.eu/2026/01/20/stilla-emerges-from-stealth-with-5m-to-address-collaboration-challenges-in-ai-driven-companies/" TargetMode="External"/><Relationship Id="rId16" Type="http://schemas.openxmlformats.org/officeDocument/2006/relationships/hyperlink" Target="https://stilla.ai/docs" TargetMode="External"/><Relationship Id="rId17" Type="http://schemas.openxmlformats.org/officeDocument/2006/relationships/hyperlink" Target="https://stilla.a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