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Meta"/>
      </w:pPr>
      <w:r>
        <w:t>ПРОВАЛЫ И УРОКИ  ·  РАБОЧЕЕ ДОСЬЕ</w:t>
      </w:r>
    </w:p>
    <w:p>
      <w:pPr>
        <w:pStyle w:val="Title"/>
      </w:pPr>
      <w:r>
        <w:t>Связной: как большая сеть потеряла финансовый манёвр</w:t>
      </w:r>
    </w:p>
    <w:p>
      <w:pPr>
        <w:spacing w:after="160"/>
      </w:pPr>
      <w:r>
        <w:rPr>
          <w:color w:val="5F6978"/>
          <w:sz w:val="24"/>
        </w:rPr>
        <w:t>Причины кризиса, подтверждённая хронология, ранние сигналы, карта устойчивости и 90-дневный антикризисный playbook для малого бизнеса.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13263A"/>
            <w:tcBorders>
              <w:top w:sz="4" w:val="single" w:color="13263A"/>
              <w:left w:sz="4" w:val="single" w:color="13263A"/>
              <w:bottom w:sz="4" w:val="single" w:color="13263A"/>
              <w:right w:sz="4" w:val="single" w:color="13263A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105,5 млрд ₽</w:t>
            </w:r>
          </w:p>
        </w:tc>
        <w:tc>
          <w:tcPr>
            <w:tcW w:type="dxa" w:w="2606"/>
            <w:shd w:fill="13263A"/>
            <w:tcBorders>
              <w:top w:sz="4" w:val="single" w:color="13263A"/>
              <w:left w:sz="4" w:val="single" w:color="13263A"/>
              <w:bottom w:sz="4" w:val="single" w:color="13263A"/>
              <w:right w:sz="4" w:val="single" w:color="13263A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56,8 млрд ₽</w:t>
            </w:r>
          </w:p>
        </w:tc>
        <w:tc>
          <w:tcPr>
            <w:tcW w:type="dxa" w:w="2606"/>
            <w:shd w:fill="13263A"/>
            <w:tcBorders>
              <w:top w:sz="4" w:val="single" w:color="13263A"/>
              <w:left w:sz="4" w:val="single" w:color="13263A"/>
              <w:bottom w:sz="4" w:val="single" w:color="13263A"/>
              <w:right w:sz="4" w:val="single" w:color="13263A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48,5 млрд ₽</w:t>
            </w:r>
          </w:p>
        </w:tc>
        <w:tc>
          <w:tcPr>
            <w:tcW w:type="dxa" w:w="2606"/>
            <w:shd w:fill="13263A"/>
            <w:tcBorders>
              <w:top w:sz="4" w:val="single" w:color="13263A"/>
              <w:left w:sz="4" w:val="single" w:color="13263A"/>
              <w:bottom w:sz="4" w:val="single" w:color="13263A"/>
              <w:right w:sz="4" w:val="single" w:color="13263A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30.10.2025</w:t>
            </w:r>
          </w:p>
        </w:tc>
      </w:tr>
      <w:tr>
        <w:tc>
          <w:tcPr>
            <w:tcW w:type="dxa" w:w="2606"/>
            <w:shd w:fill="F3EFE8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jc w:val="center"/>
            </w:pPr>
            <w:r>
              <w:rPr>
                <w:color w:val="13263A"/>
                <w:sz w:val="16"/>
              </w:rPr>
              <w:t>выручка ООО «Сеть Связной» в 2021</w:t>
            </w:r>
          </w:p>
        </w:tc>
        <w:tc>
          <w:tcPr>
            <w:tcW w:type="dxa" w:w="2606"/>
            <w:shd w:fill="F3EFE8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jc w:val="center"/>
            </w:pPr>
            <w:r>
              <w:rPr>
                <w:color w:val="13263A"/>
                <w:sz w:val="16"/>
              </w:rPr>
              <w:t>выручка в 2022</w:t>
            </w:r>
          </w:p>
        </w:tc>
        <w:tc>
          <w:tcPr>
            <w:tcW w:type="dxa" w:w="2606"/>
            <w:shd w:fill="F3EFE8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jc w:val="center"/>
            </w:pPr>
            <w:r>
              <w:rPr>
                <w:color w:val="13263A"/>
                <w:sz w:val="16"/>
              </w:rPr>
              <w:t>чистый убыток 2022</w:t>
            </w:r>
          </w:p>
        </w:tc>
        <w:tc>
          <w:tcPr>
            <w:tcW w:type="dxa" w:w="2606"/>
            <w:shd w:fill="F3EFE8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jc w:val="center"/>
            </w:pPr>
            <w:r>
              <w:rPr>
                <w:color w:val="13263A"/>
                <w:sz w:val="16"/>
              </w:rPr>
              <w:t>банкротное дело прекращено по мировому соглашению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6F3EB"/>
            <w:tcBorders>
              <w:top w:sz="2" w:val="single" w:color="D9D4CA"/>
              <w:left w:sz="18" w:val="single" w:color="B3976A"/>
              <w:bottom w:sz="2" w:val="single" w:color="D9D4CA"/>
              <w:right w:sz="2" w:val="single" w:color="D9D4CA"/>
            </w:tcBorders>
          </w:tcPr>
          <w:p>
            <w:pPr>
              <w:spacing w:after="40"/>
            </w:pPr>
            <w:r>
              <w:rPr>
                <w:rFonts w:ascii="Georgia" w:hAnsi="Georgia"/>
                <w:b/>
                <w:color w:val="13263A"/>
                <w:sz w:val="23"/>
              </w:rPr>
              <w:t>Ключевой вывод</w:t>
            </w:r>
          </w:p>
          <w:p>
            <w:pPr>
              <w:spacing w:after="20"/>
            </w:pPr>
            <w:r>
              <w:rPr>
                <w:sz w:val="19"/>
              </w:rPr>
              <w:t>Историю «Связного» нельзя честно объяснить фразой «офлайн проиграл интернету». Онлайн у сети рос задолго до финального кризиса. Проблема была глубже: тяжёлая физическая инфраструктура, тонкий финансовый запас, сложный долговой контур и шок 2022 года встретились в момент, когда перестройка требовала времени и денег. Главный урок — измерять потерю манёвра до кассового кризиса.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EEF4F1"/>
            <w:tcBorders>
              <w:top w:sz="2" w:val="single" w:color="D9D4CA"/>
              <w:left w:sz="18" w:val="single" w:color="2F6D4F"/>
              <w:bottom w:sz="2" w:val="single" w:color="D9D4CA"/>
              <w:right w:sz="2" w:val="single" w:color="D9D4CA"/>
            </w:tcBorders>
          </w:tcPr>
          <w:p>
            <w:pPr>
              <w:spacing w:after="40"/>
            </w:pPr>
            <w:r>
              <w:rPr>
                <w:rFonts w:ascii="Georgia" w:hAnsi="Georgia"/>
                <w:b/>
                <w:color w:val="13263A"/>
                <w:sz w:val="23"/>
              </w:rPr>
              <w:t>Актуальный юридический статус</w:t>
            </w:r>
          </w:p>
          <w:p>
            <w:pPr>
              <w:spacing w:after="20"/>
            </w:pPr>
            <w:r>
              <w:rPr>
                <w:sz w:val="19"/>
              </w:rPr>
              <w:t>ООО «Сеть Связной» было признано банкротом 12.12.2023. 30.10.2025 суд утвердил мировое соглашение и прекратил производство по делу А40-42574/2023. 09.02.2026 апелляция оставила соглашение в силе, а 17.04.2026 его подтвердил Арбитражный суд Московского округа. Поэтому на 26.08.2026 формулировка «Связной сейчас находится в банкротстве» некорректна. Это не означает восстановления прежней федеральной сети.</w:t>
            </w:r>
          </w:p>
        </w:tc>
      </w:tr>
    </w:tbl>
    <w:p>
      <w:pPr>
        <w:spacing w:after="20"/>
      </w:pPr>
    </w:p>
    <w:p>
      <w:pPr>
        <w:pStyle w:val="Heading1"/>
      </w:pPr>
      <w:r>
        <w:t>1. Как пользоваться комплектом</w:t>
      </w:r>
    </w:p>
    <w:p>
      <w:pPr>
        <w:pStyle w:val="ListNumber"/>
        <w:spacing w:after="40"/>
      </w:pPr>
      <w:r>
        <w:t>Сначала прочитайте блок «Факты и границы интерпретации»: он отделяет судебные и финансовые факты от редакционной реконструкции.</w:t>
      </w:r>
    </w:p>
    <w:p>
      <w:pPr>
        <w:pStyle w:val="ListNumber"/>
        <w:spacing w:after="40"/>
      </w:pPr>
      <w:r>
        <w:t>Затем откройте Excel stress-test-rannie-signaly-svyaznoy-2026.xlsx. Он не реконструирует бухгалтерию «Связного», а помогает диагностировать свой бизнес.</w:t>
      </w:r>
    </w:p>
    <w:p>
      <w:pPr>
        <w:pStyle w:val="ListNumber"/>
        <w:spacing w:after="40"/>
      </w:pPr>
      <w:r>
        <w:t>Заполните каналы, точки, запасы, долг и 13-недельные обязательные платежи. Красный индикатор не означает банкротство: важна концентрация сигналов и скорость ухудшения.</w:t>
      </w:r>
    </w:p>
    <w:p>
      <w:pPr>
        <w:pStyle w:val="ListNumber"/>
        <w:spacing w:after="40"/>
      </w:pPr>
      <w:r>
        <w:t>Для каждого проблемного элемента примите решение: ЗАЩИЩАТЬ / ПЕРЕСТРАИВАТЬ / ВЫХОДИТЬ, укажите владельца и срок теста.</w:t>
      </w:r>
    </w:p>
    <w:p>
      <w:pPr>
        <w:pStyle w:val="ListNumber"/>
        <w:spacing w:after="40"/>
      </w:pPr>
      <w:r>
        <w:t>90-дневный playbook применяется только после 13-недельного cash-flow: сначала ликвидность, потом ростовые инициативы.</w:t>
      </w:r>
    </w:p>
    <w:p>
      <w:pPr>
        <w:pStyle w:val="Heading1"/>
      </w:pPr>
      <w:r>
        <w:t>2. Что именно произошло: подтверждённая хронология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  <w:tblHeader w:val="true"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Период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Факт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Как трактовать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2012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3 322 центра мобильной связи; выручка 91,3 млрд ₽; денежный оборот 509,2 млрд ₽.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Показывает масштаб. Не доказывает устойчивость.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2014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Долговой кризис вокруг активов Максима Ноготкова; требования кредиторов в контуре группы превышали $1 млрд.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Не смешивать с долгами ООО «Сеть Связной» 2022–2023.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2017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Интернет-выручка +42%; доля онлайн-направления к ноябрю 25% в деньгах; мобильные покупатели +121%.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Опровергает упрощение «компания проспала интернет».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2018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Объединение с «Евросетью»; около 5 тыс. собственных салонов.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Масштаб увеличил охват и одновременно fixed-cost-инерцию.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2020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После жёсткой финансовой оценки закрыто около 1 000 магазинов; осталось около 3 тыс.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Компания уже признавала необходимость сокращать слабые точки.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2021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ООО «Сеть Связной»: выручка 105,5 млрд ₽; чистая прибыль 15,3 млн ₽.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РСБУ юрлица нельзя превращать в точную маржу всей группы, но запас итоговой прибыли был очень тонким.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2022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Выручка 56,8 млрд ₽; прибыль от продаж 2,4 млрд ₽; чистый убыток 48,5 млрд ₽.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Резкое ухудшение итоговой экономики и ликвидности.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2023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Крупные требования кредиторов; к началу сентября закрылись последние магазины в Москве и Санкт-Петербурге.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Прежняя розничная сеть фактически исчезла.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12.12.2023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ООО «Сеть Связной» признано банкротом.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Судебный факт.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30.10.2025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Суд утвердил мировое соглашение; третье лицо финансирует погашение 10% требований, около 5,1 млрд ₽; производство прекращено.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Прекращение процедуры не равно восстановлению федеральной сети.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09.02.2026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Апелляция оставила мировое соглашение в силе.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Юридический статус подтверждён второй инстанцией.</w:t>
            </w:r>
          </w:p>
        </w:tc>
      </w:tr>
      <w:tr>
        <w:trPr>
          <w:cantSplit/>
        </w:trPr>
        <w:tc>
          <w:tcPr>
            <w:tcW w:type="dxa" w:w="1531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17.04.2026</w:t>
            </w:r>
          </w:p>
        </w:tc>
        <w:tc>
          <w:tcPr>
            <w:tcW w:type="dxa" w:w="5499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Кассация оставила судебные акты без изменения.</w:t>
            </w:r>
          </w:p>
        </w:tc>
        <w:tc>
          <w:tcPr>
            <w:tcW w:type="dxa" w:w="351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На дату фактчека прекращение дела устояло и в округе.</w:t>
            </w:r>
          </w:p>
        </w:tc>
      </w:tr>
    </w:tbl>
    <w:p>
      <w:pPr>
        <w:pStyle w:val="Heading1"/>
      </w:pPr>
      <w:r>
        <w:t>3. Почему формула «офлайн проиграл интернету» слишком слабая</w:t>
      </w:r>
    </w:p>
    <w:p>
      <w:pPr>
        <w:pStyle w:val="ListBullet"/>
        <w:spacing w:after="40"/>
      </w:pPr>
      <w:r>
        <w:t>Онлайн у «Связного» не был поздней попыткой спасения: в 2017 году компания сообщала о росте интернет-выручки на 42% и доле онлайн-направления 25% к ноябрю.</w:t>
      </w:r>
    </w:p>
    <w:p>
      <w:pPr>
        <w:pStyle w:val="ListBullet"/>
        <w:spacing w:after="40"/>
      </w:pPr>
      <w:r>
        <w:t>В 2020 году руководство уже закрывало слабые магазины после финансовой оценки. Значит, проблема не сводится к отсутствию управленческой реакции.</w:t>
      </w:r>
    </w:p>
    <w:p>
      <w:pPr>
        <w:pStyle w:val="ListBullet"/>
        <w:spacing w:after="40"/>
      </w:pPr>
      <w:r>
        <w:t>В 2022 году прибыль от продаж по РСБУ оставалась положительной — около 2,4 млрд ₽, но чистый убыток составил 48,5 млрд ₽. Это важный сигнал: итоговый кризис нельзя объяснять только операционной экономикой торговой точки.</w:t>
      </w:r>
    </w:p>
    <w:p>
      <w:pPr>
        <w:pStyle w:val="ListBullet"/>
        <w:spacing w:after="40"/>
      </w:pPr>
      <w:r>
        <w:t>Ключевой вопрос — хватало ли компании денег и времени, чтобы одновременно обслуживать обязательства, перестраивать поставки и сокращать старую инфраструктуру.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FF8E8"/>
            <w:tcBorders>
              <w:top w:sz="2" w:val="single" w:color="D9D4CA"/>
              <w:left w:sz="18" w:val="single" w:color="B3976A"/>
              <w:bottom w:sz="2" w:val="single" w:color="D9D4CA"/>
              <w:right w:sz="2" w:val="single" w:color="D9D4CA"/>
            </w:tcBorders>
          </w:tcPr>
          <w:p>
            <w:pPr>
              <w:spacing w:after="40"/>
            </w:pPr>
            <w:r>
              <w:rPr>
                <w:rFonts w:ascii="Georgia" w:hAnsi="Georgia"/>
                <w:b/>
                <w:color w:val="13263A"/>
                <w:sz w:val="23"/>
              </w:rPr>
              <w:t>Редакционная позиция</w:t>
            </w:r>
          </w:p>
          <w:p>
            <w:pPr>
              <w:spacing w:after="20"/>
            </w:pPr>
            <w:r>
              <w:rPr>
                <w:sz w:val="19"/>
              </w:rPr>
              <w:t>Корректно говорить о сочетании факторов, а не о единственной «ошибке руководства». Публичные источники позволяют восстановить последовательность событий и ранние сигналы, но не дают полной управленческой P&amp;L по каждой точке, точного cash-flow группы и единственной юридически установленной причины кризиса.</w:t>
            </w:r>
          </w:p>
        </w:tc>
      </w:tr>
    </w:tbl>
    <w:p>
      <w:pPr>
        <w:spacing w:after="20"/>
      </w:pPr>
    </w:p>
    <w:p>
      <w:pPr>
        <w:pStyle w:val="Heading1"/>
      </w:pPr>
      <w:r>
        <w:t>4. Как работала модель «Связного» — и почему масштаб создавал инерцию</w:t>
      </w:r>
    </w:p>
    <w:p>
      <w:r>
        <w:t>Салон связи был не просто магазином смартфонов. Его экономика складывалась из нескольких потоков:</w:t>
      </w:r>
    </w:p>
    <w:p>
      <w:pPr>
        <w:pStyle w:val="ListBullet"/>
        <w:spacing w:after="40"/>
      </w:pPr>
      <w:r>
        <w:t>продажа устройств и аксессуаров;</w:t>
      </w:r>
    </w:p>
    <w:p>
      <w:pPr>
        <w:pStyle w:val="ListBullet"/>
        <w:spacing w:after="40"/>
      </w:pPr>
      <w:r>
        <w:t>SIM-карты и операторские продукты;</w:t>
      </w:r>
    </w:p>
    <w:p>
      <w:pPr>
        <w:pStyle w:val="ListBullet"/>
        <w:spacing w:after="40"/>
      </w:pPr>
      <w:r>
        <w:t>кредиты, рассрочки, страховые и финансовые сервисы;</w:t>
      </w:r>
    </w:p>
    <w:p>
      <w:pPr>
        <w:pStyle w:val="ListBullet"/>
        <w:spacing w:after="40"/>
      </w:pPr>
      <w:r>
        <w:t>платежи и дополнительные услуги;</w:t>
      </w:r>
    </w:p>
    <w:p>
      <w:pPr>
        <w:pStyle w:val="ListBullet"/>
        <w:spacing w:after="40"/>
      </w:pPr>
      <w:r>
        <w:t>выдача и поддержка интернет-заказов;</w:t>
      </w:r>
    </w:p>
    <w:p>
      <w:pPr>
        <w:pStyle w:val="ListBullet"/>
        <w:spacing w:after="40"/>
      </w:pPr>
      <w:r>
        <w:t>трафик и доверие к федеральному бренду.</w:t>
      </w:r>
    </w:p>
    <w:p>
      <w:r>
        <w:t>Пока физическая сеть была главным каналом доступа к устройствам и услугам, масштаб работал на охват. Когда ценность офлайн-точки стала снижаться, тот же масштаб превращался в обязательства: аренда, персонал, запасы, IT, логистика, длинные договоры и управленческая сложность.</w:t>
      </w:r>
    </w:p>
    <w:p>
      <w:pPr>
        <w:pStyle w:val="Heading1"/>
      </w:pPr>
      <w:r>
        <w:t>5. Шесть узлов кризиса</w:t>
      </w:r>
    </w:p>
    <w:p>
      <w:pPr>
        <w:pStyle w:val="Heading2"/>
      </w:pPr>
      <w:r>
        <w:t>1. Инерция физической сети</w:t>
      </w:r>
    </w:p>
    <w:p>
      <w:r>
        <w:t>После объединения с «Евросетью» объединённая компания получила около 5 тыс. собственных салонов. Закрытие 1 000 точек в 2020 году показывает, насколько большой была задача по уменьшению инфраструктуры.</w:t>
      </w:r>
    </w:p>
    <w:p>
      <w:pPr>
        <w:pStyle w:val="Heading2"/>
      </w:pPr>
      <w:r>
        <w:t>2. Новый канал не отменяет стоимость старого</w:t>
      </w:r>
    </w:p>
    <w:p>
      <w:r>
        <w:t>Рост онлайн-продаж сам по себе не спасает модель, если старый fixed cost снижается медленнее. Бизнес может одновременно финансировать и новую, и прежнюю систему.</w:t>
      </w:r>
    </w:p>
    <w:p>
      <w:pPr>
        <w:pStyle w:val="Heading2"/>
      </w:pPr>
      <w:r>
        <w:t>3. Тонкий запас итоговой прибыли</w:t>
      </w:r>
    </w:p>
    <w:p>
      <w:r>
        <w:t>В 2021 году при выручке 105,5 млрд ₽ чистая прибыль ООО «Сеть Связной» составляла лишь 15,3 млн ₽. Это не «маржа сети», но показатель уязвимости конкретного юрлица к сильному шоку.</w:t>
      </w:r>
    </w:p>
    <w:p>
      <w:pPr>
        <w:pStyle w:val="Heading2"/>
      </w:pPr>
      <w:r>
        <w:t>4. Шок поставок и ассортимента 2022 года</w:t>
      </w:r>
    </w:p>
    <w:p>
      <w:r>
        <w:t>Уход и ограничение прямых поставок ряда международных вендоров потребовали перестройки логистики и большего авансирования новых каналов поставки. Для бизнеса с долгом это увеличивает потребность в оборотном капитале.</w:t>
      </w:r>
    </w:p>
    <w:p>
      <w:pPr>
        <w:pStyle w:val="Heading2"/>
      </w:pPr>
      <w:r>
        <w:t>5. Давление кредиторов и поставщиков</w:t>
      </w:r>
    </w:p>
    <w:p>
      <w:r>
        <w:t>В 2022–2023 годах росли судебные требования. К моменту процедуры наблюдения обязательства в судебных материалах оценивались в десятки миллиардов рублей. Не следует механически складывать отдельные иски и выдавать сумму за точный долг.</w:t>
      </w:r>
    </w:p>
    <w:p>
      <w:pPr>
        <w:pStyle w:val="Heading2"/>
      </w:pPr>
      <w:r>
        <w:t>6. Время перестройки стало длиннее cash runway</w:t>
      </w:r>
    </w:p>
    <w:p>
      <w:r>
        <w:t>Когда денег не хватает на обязательные платежи и параллельную перестройку, руководство уже не выбирает лучший сценарий — оно выбирает из тех, на которые ещё хватает ликвидности.</w:t>
      </w:r>
    </w:p>
    <w:p>
      <w:pPr>
        <w:pStyle w:val="Heading1"/>
      </w:pPr>
      <w:r>
        <w:t>6. 2021 → 2022: как выглядит потеря запаса прочности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  <w:tblHeader w:val="true"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Показатель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2021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2022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Изменение / смысл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Выручка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105,5 млрд ₽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56,8 млрд ₽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Снижение примерно в 1,9 раза.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Чистый результат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+15,3 млн ₽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-48,5 млрд ₽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Переход от почти нулевой прибыли к огромному чистому убытку.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Прибыль от продаж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191,9 млн ₽ до налогообложения*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2,4 млрд ₽ прибыль от продаж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Показатели разного уровня отчётности; не смешивать. Важно, что чистый убыток нельзя объяснить только продажами.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Сеть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тысячи точек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начало резкого сворачивания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Физический масштаб требовал денег на выход и перестройку.</w:t>
            </w:r>
          </w:p>
        </w:tc>
      </w:tr>
    </w:tbl>
    <w:p>
      <w:pPr>
        <w:pStyle w:val="Meta"/>
      </w:pPr>
      <w:r>
        <w:t>* В источнике Интерфакс за 2022 год приводится прибыль до налогообложения 2021 года 191,9 млн ₽, а чистая прибыль — 15,3 млн ₽. Эти показатели не следует подменять друг другом.</w:t>
      </w:r>
    </w:p>
    <w:p>
      <w:pPr>
        <w:pStyle w:val="Heading1"/>
      </w:pPr>
      <w:r>
        <w:t>7. Механика потери манёвра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  <w:tblHeader w:val="true"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Этап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Что происходит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Ранний вопрос руководителю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Старый канал ещё продаёт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Руководство откладывает жёсткий выход, потому что выручка и клиентский трафик ещё есть.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Почему не закрываем?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Слабые элементы субсидируются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Сильные точки и каналы оплачивают аренду, персонал и запасы слабых.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Кто и сколько субсидирует?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Запасы и fixed costs съедают оборотный капитал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Деньги оказываются в товаре, аренде и обязательствах вместо финансирования перестройки.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Сколько cash связано в старой модели?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Поставщики и банки ужесточают условия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Сокращается отсрочка, растёт предоплата, ухудшаются лимиты.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Что будет при -30% лимита?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Срок перестройки становится длиннее runway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Закрыть сеть, поменять поставки или канал продаж быстро невозможно.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Сколько недель до дефицита?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Выбор сужается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Компания принимает не оптимальное решение, а то, которое ещё можно профинансировать.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Какие решения ещё обратимы?</w:t>
            </w:r>
          </w:p>
        </w:tc>
      </w:tr>
    </w:tbl>
    <w:p>
      <w:pPr>
        <w:pStyle w:val="Heading1"/>
      </w:pPr>
      <w:r>
        <w:t>8. Ранние сигналы, которые малый бизнес должен видеть раньше банка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  <w:tblHeader w:val="true"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Уровень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Красный сигнал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Что измерять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Каналы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Новый канал растёт, а стоимость старого не падает.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Contribution по каналам + стоимость обслуживания.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Точки / продукты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Слабые элементы системно субсидируются сильными.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Вклад после прямых и выделяемых fixed.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Запасы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Доля старого товара растёт быстрее выручки.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Возраст запасов, markdown, cash release.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Fixed costs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Продажи падают, а аренда/ФОТ/системные расходы почти не снижаются.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Что остаётся при -20% и -30% выручки.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Долг / поставщики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Отсрочки уменьшаются, предоплата растёт, лимиты не продлеваются.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13-недельный календарь платежей.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Ликвидность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Runway меньше срока перестройки.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Доступный cash / еженедельный burn.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Управление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У проблемной гипотезы нет владельца и даты решения.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Owner + deadline + kill criterion.</w:t>
            </w:r>
          </w:p>
        </w:tc>
      </w:tr>
    </w:tbl>
    <w:p>
      <w:pPr>
        <w:pStyle w:val="Heading1"/>
      </w:pPr>
      <w:r>
        <w:t>9. Уроки «Связного», которые переносим в малый бизнес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  <w:tblHeader w:val="true"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Урок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Практическое действие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Инструмент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Большая выручка ≠ запас прочности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Считать не оборот, а свободный cash после обязательных платежей.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13-недельный cash-flow.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Рост нового канала ≠ трансформация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Если старый cost-base не уменьшается, бизнес получает два дорогих контура.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Contribution + fixed by channel.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Масштаб увеличивает стоимость ошибки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Чем больше точек и запасов, тем дольше и дороже перестройка.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Exit cost + срок закрытия.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Запасы — это деньги, а не «товар на полке»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Старый SKU может скрывать кассовый разрыв.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Ageing 30/60/90+ days.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Переговоры надо начинать до просрочки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Поставщик и арендодатель охотнее меняют условия до нарушения обязательств.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Календарь ковенантов и сроков.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Не путать известность бренда с ликвидностью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Сильный бренд не оплачивает счета сам по себе.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Cash runway и сценарии.</w:t>
            </w:r>
          </w:p>
        </w:tc>
      </w:tr>
      <w:tr>
        <w:trPr>
          <w:cantSplit/>
        </w:trPr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У гипотезы должен быть срок смерти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Бесконечный тест превращается в субсидирование.</w:t>
            </w:r>
          </w:p>
        </w:tc>
        <w:tc>
          <w:tcPr>
            <w:tcW w:type="dxa" w:w="3475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5"/>
              </w:rPr>
              <w:t>Kill criteria 14–45 дней.</w:t>
            </w:r>
          </w:p>
        </w:tc>
      </w:tr>
    </w:tbl>
    <w:p>
      <w:pPr>
        <w:pStyle w:val="Heading1"/>
      </w:pPr>
      <w:r>
        <w:t>10. Матрица устойчивости: защищать / перестраивать / выходить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  <w:tblHeader w:val="true"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Решение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Когда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Контрольный срок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ЗАЩИЩАТЬ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Положительный вклад, нужен клиенту, не блокирует развитие.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Сохранять стандарт и ресурс; не резать живой актив из-за общего кризиса.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Еженедельно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ПЕРЕСТРАИВАТЬ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Экономика ухудшилась, но есть конкретная проверяемая гипотеза.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Ограничить тест; назначить owner, метрику, бюджет и kill criterion.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14–45 дней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ВЫХОДИТЬ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Нет реалистичного пути к положительному вкладу, элемент системно забирает cash.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Остановить субсидирование, посчитать exit cost, защитить перспективную часть бизнеса.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Решение до исчерпания runway</w:t>
            </w:r>
          </w:p>
        </w:tc>
      </w:tr>
    </w:tbl>
    <w:p>
      <w:pPr>
        <w:pStyle w:val="Heading1"/>
      </w:pPr>
      <w:r>
        <w:t>11. Антикризисный playbook</w:t>
      </w:r>
    </w:p>
    <w:p>
      <w:pPr>
        <w:pStyle w:val="Heading2"/>
      </w:pPr>
      <w:r>
        <w:t>Первые 72 часа</w:t>
      </w:r>
    </w:p>
    <w:p>
      <w:pPr>
        <w:pStyle w:val="ListBullet"/>
        <w:spacing w:after="40"/>
      </w:pPr>
      <w:r>
        <w:t>Заморозить необязательный CAPEX, найм и новые долгосрочные обязательства.</w:t>
      </w:r>
    </w:p>
    <w:p>
      <w:pPr>
        <w:pStyle w:val="ListBullet"/>
        <w:spacing w:after="40"/>
      </w:pPr>
      <w:r>
        <w:t>Собрать 13-недельный cash-flow по неделям: деньги на счетах, поступления, обязательные платежи, налоги, зарплата, долг.</w:t>
      </w:r>
    </w:p>
    <w:p>
      <w:pPr>
        <w:pStyle w:val="ListBullet"/>
        <w:spacing w:after="40"/>
      </w:pPr>
      <w:r>
        <w:t>Сверить банковские лимиты, ковенанты и условия ключевых поставщиков.</w:t>
      </w:r>
    </w:p>
    <w:p>
      <w:pPr>
        <w:pStyle w:val="ListBullet"/>
        <w:spacing w:after="40"/>
      </w:pPr>
      <w:r>
        <w:t>Выделить 10–20 крупнейших потребителей ликвидности: точки, SKU, проекты, аренды, дебиторку.</w:t>
      </w:r>
    </w:p>
    <w:p>
      <w:pPr>
        <w:pStyle w:val="ListBullet"/>
        <w:spacing w:after="40"/>
      </w:pPr>
      <w:r>
        <w:t>Назначить единого владельца cash-комитета и ежедневный short report.</w:t>
      </w:r>
    </w:p>
    <w:p>
      <w:pPr>
        <w:pStyle w:val="Heading2"/>
      </w:pPr>
      <w:r>
        <w:t>Неделя 1–2</w:t>
      </w:r>
    </w:p>
    <w:p>
      <w:pPr>
        <w:pStyle w:val="ListBullet"/>
        <w:spacing w:after="40"/>
      </w:pPr>
      <w:r>
        <w:t>Посчитать contribution по каналам и ключевым точкам.</w:t>
      </w:r>
    </w:p>
    <w:p>
      <w:pPr>
        <w:pStyle w:val="ListBullet"/>
        <w:spacing w:after="40"/>
      </w:pPr>
      <w:r>
        <w:t>Разложить запасы по возрасту; остановить закупку медленных SKU без доказанного спроса.</w:t>
      </w:r>
    </w:p>
    <w:p>
      <w:pPr>
        <w:pStyle w:val="ListBullet"/>
        <w:spacing w:after="40"/>
      </w:pPr>
      <w:r>
        <w:t>Начать переговоры по аренде, срокам оплаты и лимитам до нарушения обязательств.</w:t>
      </w:r>
    </w:p>
    <w:p>
      <w:pPr>
        <w:pStyle w:val="ListBullet"/>
        <w:spacing w:after="40"/>
      </w:pPr>
      <w:r>
        <w:t>Выбрать не более трёх гипотез перестройки с owner, бюджетом и сроком теста.</w:t>
      </w:r>
    </w:p>
    <w:p>
      <w:pPr>
        <w:pStyle w:val="ListBullet"/>
        <w:spacing w:after="40"/>
      </w:pPr>
      <w:r>
        <w:t>Сформировать список STOP-решений, которые можно выполнить без разрушения сильного ядра.</w:t>
      </w:r>
    </w:p>
    <w:p>
      <w:pPr>
        <w:pStyle w:val="Heading2"/>
      </w:pPr>
      <w:r>
        <w:t>Неделя 3–4</w:t>
      </w:r>
    </w:p>
    <w:p>
      <w:pPr>
        <w:pStyle w:val="ListBullet"/>
        <w:spacing w:after="40"/>
      </w:pPr>
      <w:r>
        <w:t>Закрыть или сократить элементы, которые прошли STOP-критерий.</w:t>
      </w:r>
    </w:p>
    <w:p>
      <w:pPr>
        <w:pStyle w:val="ListBullet"/>
        <w:spacing w:after="40"/>
      </w:pPr>
      <w:r>
        <w:t>Перераспределить запасы, людей и маркетинг в каналы с положительным вкладом.</w:t>
      </w:r>
    </w:p>
    <w:p>
      <w:pPr>
        <w:pStyle w:val="ListBullet"/>
        <w:spacing w:after="40"/>
      </w:pPr>
      <w:r>
        <w:t>Проверить реальную экономию, а не плановую.</w:t>
      </w:r>
    </w:p>
    <w:p>
      <w:pPr>
        <w:pStyle w:val="ListBullet"/>
        <w:spacing w:after="40"/>
      </w:pPr>
      <w:r>
        <w:t>Обновлять cash runway после каждого крупного решения.</w:t>
      </w:r>
    </w:p>
    <w:p>
      <w:pPr>
        <w:pStyle w:val="Heading1"/>
      </w:pPr>
      <w:r>
        <w:t>12. План 30 / 60 / 90 дней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  <w:tblHeader w:val="true"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Срок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Цель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Обязательный результат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  <w:shd w:fill="13263A"/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Gate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0–30 дней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Стабилизировать ликвидность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13-недельный cash-flow; вклад каналов/точек; ageing запасов; календарь долга; STOP/TEST-лист.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Нет просрочки из-за отсутствия видимости cash.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31–60 дней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Уменьшить старую инерцию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Закрыты/перестроены слабые элементы; высвобождён cash из запасов; пересмотрены договоры; подтверждён эффект.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Fixed cost снижается вместе со слабой выручкой.</w:t>
            </w:r>
          </w:p>
        </w:tc>
      </w:tr>
      <w:tr>
        <w:trPr>
          <w:cantSplit/>
        </w:trPr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61–90 дней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Закрепить новую рабочую модель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Ресурс перераспределён в сильные каналы; новые лимиты закупки; недельный dashboard; правила kill criteria.</w:t>
            </w:r>
          </w:p>
        </w:tc>
        <w:tc>
          <w:tcPr>
            <w:tcW w:type="dxa" w:w="2606"/>
            <w:vAlign w:val="top"/>
            <w:tcBorders>
              <w:top w:sz="4" w:val="single" w:color="D9D4CA"/>
              <w:left w:sz="4" w:val="single" w:color="D9D4CA"/>
              <w:bottom w:sz="4" w:val="single" w:color="D9D4CA"/>
              <w:right w:sz="4" w:val="single" w:color="D9D4CA"/>
            </w:tcBorders>
          </w:tcPr>
          <w:p>
            <w:pPr>
              <w:spacing w:after="40" w:line="240" w:lineRule="auto"/>
            </w:pPr>
            <w:r>
              <w:rPr>
                <w:rFonts w:ascii="Aptos" w:hAnsi="Aptos" w:eastAsia="Aptos"/>
                <w:color w:val="13263A"/>
                <w:sz w:val="16"/>
              </w:rPr>
              <w:t>Runway &gt; срока следующей перестройки.</w:t>
            </w:r>
          </w:p>
        </w:tc>
      </w:tr>
    </w:tbl>
    <w:p>
      <w:pPr>
        <w:pStyle w:val="Heading1"/>
      </w:pPr>
      <w:r>
        <w:t>13. Как читать Excel stress-test</w:t>
      </w:r>
    </w:p>
    <w:p>
      <w:pPr>
        <w:pStyle w:val="ListBullet"/>
        <w:spacing w:after="40"/>
      </w:pPr>
      <w:r>
        <w:t>Inputs — замените демонстрационные значения фактами своего бизнеса.</w:t>
      </w:r>
    </w:p>
    <w:p>
      <w:pPr>
        <w:pStyle w:val="ListBullet"/>
        <w:spacing w:after="40"/>
      </w:pPr>
      <w:r>
        <w:t>Channels / Stores — найдите, где сильный элемент субсидирует слабый.</w:t>
      </w:r>
    </w:p>
    <w:p>
      <w:pPr>
        <w:pStyle w:val="ListBullet"/>
        <w:spacing w:after="40"/>
      </w:pPr>
      <w:r>
        <w:t>Inventory — посчитайте долю старого запаса и возможное высвобождение cash.</w:t>
      </w:r>
    </w:p>
    <w:p>
      <w:pPr>
        <w:pStyle w:val="ListBullet"/>
        <w:spacing w:after="40"/>
      </w:pPr>
      <w:r>
        <w:t>DebtLiquidity — сопоставьте доступные деньги и обязательные выплаты на 13 недель.</w:t>
      </w:r>
    </w:p>
    <w:p>
      <w:pPr>
        <w:pStyle w:val="ListBullet"/>
        <w:spacing w:after="40"/>
      </w:pPr>
      <w:r>
        <w:t>Scenarios — проверьте BASE / WEAK / STRESS, не только «средний месяц».</w:t>
      </w:r>
    </w:p>
    <w:p>
      <w:pPr>
        <w:pStyle w:val="ListBullet"/>
        <w:spacing w:after="40"/>
      </w:pPr>
      <w:r>
        <w:t>Signals — заполните 18 ранних сигналов; один красный индикатор не равен банкротству.</w:t>
      </w:r>
    </w:p>
    <w:p>
      <w:pPr>
        <w:pStyle w:val="ListBullet"/>
        <w:spacing w:after="40"/>
      </w:pPr>
      <w:r>
        <w:t>Decisions — назначьте решение, owner и дату пересмотра.</w:t>
      </w:r>
    </w:p>
    <w:p>
      <w:pPr>
        <w:pStyle w:val="ListBullet"/>
        <w:spacing w:after="40"/>
      </w:pPr>
      <w:r>
        <w:t>Dashboard — используйте как управленческий gate, а не аудиторское или юридическое заключение.</w:t>
      </w:r>
    </w:p>
    <w:p>
      <w:pPr>
        <w:pStyle w:val="ListBullet"/>
        <w:spacing w:after="40"/>
      </w:pPr>
      <w:r>
        <w:t>CaseFacts — сверяйте факты кейса «Связного» и не переносите их механически на свою компанию.</w:t>
      </w:r>
    </w:p>
    <w:p>
      <w:pPr>
        <w:pStyle w:val="Heading1"/>
      </w:pPr>
      <w:r>
        <w:t>14. Что нельзя утверждать как факт</w:t>
      </w:r>
    </w:p>
    <w:p>
      <w:pPr>
        <w:pStyle w:val="ListBullet"/>
        <w:spacing w:after="40"/>
      </w:pPr>
      <w:r>
        <w:t>«Связной погиб только из-за маркетплейсов / интернета». Публичные данные этого не подтверждают.</w:t>
      </w:r>
    </w:p>
    <w:p>
      <w:pPr>
        <w:pStyle w:val="ListBullet"/>
        <w:spacing w:after="40"/>
      </w:pPr>
      <w:r>
        <w:t>«Банкротство вызвала одна конкретная ошибка». Корректнее говорить о сочетании факторов.</w:t>
      </w:r>
    </w:p>
    <w:p>
      <w:pPr>
        <w:pStyle w:val="ListBullet"/>
        <w:spacing w:after="40"/>
      </w:pPr>
      <w:r>
        <w:t>Сумма нескольких исков = точный совокупный долг. Так считать нельзя.</w:t>
      </w:r>
    </w:p>
    <w:p>
      <w:pPr>
        <w:pStyle w:val="ListBullet"/>
        <w:spacing w:after="40"/>
      </w:pPr>
      <w:r>
        <w:t>Чистая прибыль / выручка по РСБУ = точная операционная маржа всей сети или магазина. Это разные уровни данных.</w:t>
      </w:r>
    </w:p>
    <w:p>
      <w:pPr>
        <w:pStyle w:val="ListBullet"/>
        <w:spacing w:after="40"/>
      </w:pPr>
      <w:r>
        <w:t>Мировое соглашение в 2025 году = восстановление прежней розничной сети. Это неверно.</w:t>
      </w:r>
    </w:p>
    <w:p>
      <w:pPr>
        <w:pStyle w:val="ListBullet"/>
        <w:spacing w:after="40"/>
      </w:pPr>
      <w:r>
        <w:t>Сценарные пороги в Excel = отраслевые нормы. Нет: они редактируемые и нужны для управленческой диагностики.</w:t>
      </w:r>
    </w:p>
    <w:p>
      <w:pPr>
        <w:pStyle w:val="Heading1"/>
      </w:pPr>
      <w:r>
        <w:t>15. Источники и фактчек</w:t>
      </w:r>
    </w:p>
    <w:p>
      <w:r>
        <w:t>Дата фактчека: 26 августа 2026 года. Для судебного статуса использованы более свежие данные, чем в старой версии материала: мировое соглашение подтверждено не только апелляцией, но и кассацией 17.04.2026.</w:t>
      </w:r>
    </w:p>
    <w:p>
      <w:pPr>
        <w:spacing w:after="60"/>
      </w:pPr>
      <w:r>
        <w:rPr>
          <w:b/>
        </w:rPr>
        <w:t xml:space="preserve">1. Федресурс — дело А40-42574/2023: </w:t>
      </w:r>
      <w:hyperlink r:id="rId11">
        <w:r>
          <w:rPr>
            <w:color w:val="2F5E8E"/>
            <w:u w:val="single"/>
          </w:rPr>
          <w:t>https://fedresurs.ru/legalcases/ab58951f-3740-4e1a-b0eb-535472bc222c</w:t>
        </w:r>
      </w:hyperlink>
    </w:p>
    <w:p>
      <w:pPr>
        <w:spacing w:after="60"/>
      </w:pPr>
      <w:r>
        <w:rPr>
          <w:b/>
        </w:rPr>
        <w:t xml:space="preserve">2. Арбитражный суд Московского округа / ГАРАНТ — постановление от 17.04.2026: </w:t>
      </w:r>
      <w:hyperlink r:id="rId12">
        <w:r>
          <w:rPr>
            <w:color w:val="2F5E8E"/>
            <w:u w:val="single"/>
          </w:rPr>
          <w:t>https://base.garant.ru/69536031/</w:t>
        </w:r>
      </w:hyperlink>
    </w:p>
    <w:p>
      <w:pPr>
        <w:spacing w:after="60"/>
      </w:pPr>
      <w:r>
        <w:rPr>
          <w:b/>
        </w:rPr>
        <w:t xml:space="preserve">3. PROбанкротство — мировое соглашение 30.10.2025: </w:t>
      </w:r>
      <w:hyperlink r:id="rId13">
        <w:r>
          <w:rPr>
            <w:color w:val="2F5E8E"/>
            <w:u w:val="single"/>
          </w:rPr>
          <w:t>https://probankrotstvo.ru/news/sud-utverdil-mirovoe-soglasenie-po-delu-o-bankrotstve-sviaznogo-9613</w:t>
        </w:r>
      </w:hyperlink>
    </w:p>
    <w:p>
      <w:pPr>
        <w:spacing w:after="60"/>
      </w:pPr>
      <w:r>
        <w:rPr>
          <w:b/>
        </w:rPr>
        <w:t xml:space="preserve">4. Интерфакс — финансовые результаты 2022: </w:t>
      </w:r>
      <w:hyperlink r:id="rId14">
        <w:r>
          <w:rPr>
            <w:color w:val="2F5E8E"/>
            <w:u w:val="single"/>
          </w:rPr>
          <w:t>https://www.interfax.ru/amp/897154</w:t>
        </w:r>
      </w:hyperlink>
    </w:p>
    <w:p>
      <w:pPr>
        <w:spacing w:after="60"/>
      </w:pPr>
      <w:r>
        <w:rPr>
          <w:b/>
        </w:rPr>
        <w:t xml:space="preserve">5. Коммерсантъ — признание банкротом 12.12.2023: </w:t>
      </w:r>
      <w:hyperlink r:id="rId15">
        <w:r>
          <w:rPr>
            <w:color w:val="2F5E8E"/>
            <w:u w:val="single"/>
          </w:rPr>
          <w:t>https://www.kommersant.ru/doc/6395813</w:t>
        </w:r>
      </w:hyperlink>
    </w:p>
    <w:p>
      <w:pPr>
        <w:spacing w:after="60"/>
      </w:pPr>
      <w:r>
        <w:rPr>
          <w:b/>
        </w:rPr>
        <w:t xml:space="preserve">6. Коммерсантъ — закрытие последних магазинов Москвы и Петербурга: </w:t>
      </w:r>
      <w:hyperlink r:id="rId16">
        <w:r>
          <w:rPr>
            <w:color w:val="2F5E8E"/>
            <w:u w:val="single"/>
          </w:rPr>
          <w:t>https://www.kommersant.ru/doc/6196675</w:t>
        </w:r>
      </w:hyperlink>
    </w:p>
    <w:p>
      <w:pPr>
        <w:spacing w:after="60"/>
      </w:pPr>
      <w:r>
        <w:rPr>
          <w:b/>
        </w:rPr>
        <w:t xml:space="preserve">7. CNews — интернет-продажи 2017: </w:t>
      </w:r>
      <w:hyperlink r:id="rId17">
        <w:r>
          <w:rPr>
            <w:color w:val="2F5E8E"/>
            <w:u w:val="single"/>
          </w:rPr>
          <w:t>https://www.cnews.ru/news/top/2018-01-25_internetprodazhi_svyaznogo_za_god_vzleteli_na</w:t>
        </w:r>
      </w:hyperlink>
    </w:p>
    <w:p>
      <w:pPr>
        <w:spacing w:after="60"/>
      </w:pPr>
      <w:r>
        <w:rPr>
          <w:b/>
        </w:rPr>
        <w:t xml:space="preserve">8. РБК — объединение «Связного» и «Евросети»: </w:t>
      </w:r>
      <w:hyperlink r:id="rId18">
        <w:r>
          <w:rPr>
            <w:color w:val="2F5E8E"/>
            <w:u w:val="single"/>
          </w:rPr>
          <w:t>https://rt.rbc.ru/technology_and_media/28/04/2018/5ae344f09a794785d0b58eaf</w:t>
        </w:r>
      </w:hyperlink>
    </w:p>
    <w:p>
      <w:pPr>
        <w:spacing w:after="60"/>
      </w:pPr>
      <w:r>
        <w:rPr>
          <w:b/>
        </w:rPr>
        <w:t xml:space="preserve">9. Retail.ru — сокращение 1 000 магазинов в 2020: </w:t>
      </w:r>
      <w:hyperlink r:id="rId19">
        <w:r>
          <w:rPr>
            <w:color w:val="2F5E8E"/>
            <w:u w:val="single"/>
          </w:rPr>
          <w:t>https://www.retail.ru/news/za-vremya-pandemii-set-svyaznoy-zakryla-1000-magazinov-10-sentyabrya-2020-197594/</w:t>
        </w:r>
      </w:hyperlink>
    </w:p>
    <w:p>
      <w:pPr>
        <w:spacing w:after="60"/>
      </w:pPr>
      <w:r>
        <w:rPr>
          <w:b/>
        </w:rPr>
        <w:t xml:space="preserve">10. Коммерсантъ — долговой кризис 2014: </w:t>
      </w:r>
      <w:hyperlink r:id="rId20">
        <w:r>
          <w:rPr>
            <w:color w:val="2F5E8E"/>
            <w:u w:val="single"/>
          </w:rPr>
          <w:t>https://www.kommersant.ru/doc/2640574</w:t>
        </w:r>
      </w:hyperlink>
    </w:p>
    <w:p>
      <w:pPr>
        <w:spacing w:after="60"/>
      </w:pPr>
      <w:r>
        <w:rPr>
          <w:b/>
        </w:rPr>
        <w:t xml:space="preserve">11. Mobilecomm — публичные итоги 2012: </w:t>
      </w:r>
      <w:hyperlink r:id="rId21">
        <w:r>
          <w:rPr>
            <w:color w:val="2F5E8E"/>
            <w:u w:val="single"/>
          </w:rPr>
          <w:t>https://www.mobilecomm.ru/svyaznoy-obyavlyaet-ob-uvelichenii-oborota-na-70-v-2012-godu</w:t>
        </w:r>
      </w:hyperlink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EEF4F1"/>
            <w:tcBorders>
              <w:top w:sz="2" w:val="single" w:color="D9D4CA"/>
              <w:left w:sz="18" w:val="single" w:color="2F6D4F"/>
              <w:bottom w:sz="2" w:val="single" w:color="D9D4CA"/>
              <w:right w:sz="2" w:val="single" w:color="D9D4CA"/>
            </w:tcBorders>
          </w:tcPr>
          <w:p>
            <w:pPr>
              <w:spacing w:after="40"/>
            </w:pPr>
            <w:r>
              <w:rPr>
                <w:rFonts w:ascii="Georgia" w:hAnsi="Georgia"/>
                <w:b/>
                <w:color w:val="13263A"/>
                <w:sz w:val="23"/>
              </w:rPr>
              <w:t>Итоговый вердикт для предпринимателя</w:t>
            </w:r>
          </w:p>
          <w:p>
            <w:pPr>
              <w:spacing w:after="20"/>
            </w:pPr>
            <w:r>
              <w:rPr>
                <w:sz w:val="19"/>
              </w:rPr>
              <w:t>WATCH EARLY. Кризис «Связного» полезен не как история о «плохом офлайне», а как пример того, как бизнес теряет финансовый манёвр. Если новый канал растёт, а старые fixed costs не уходят; запасы стареют; поставщики ужесточают условия; runway короче срока перестройки — руководитель уже должен работать в режиме антикризисной диагностики, даже если выручка ещё выглядит большой.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978"/>
        <w:sz w:val="15"/>
      </w:rPr>
      <w:t>bizmicroscope.ru  ·  фактчек: 26 августа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B3976A"/>
        <w:sz w:val="15"/>
      </w:rPr>
      <w:t>БИЗНЕС ПОД МИКРОСКОПОМ  ·  РАЗБИРАЕМ. АНАЛИЗИРУЕМ. ОБЪЯСНЯЕМ.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326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 w:eastAsia="Georgia"/>
      <w:b/>
      <w:bCs/>
      <w:color w:val="1326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 w:eastAsia="Georgia"/>
      <w:b/>
      <w:bCs/>
      <w:color w:val="1326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 w:eastAsia="Georgia"/>
      <w:b/>
      <w:color w:val="13263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pPr>
      <w:spacing w:after="80"/>
    </w:pPr>
    <w:rPr>
      <w:rFonts w:ascii="Aptos" w:hAnsi="Aptos" w:eastAsia="Aptos"/>
      <w:b/>
      <w:color w:val="B3976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fedresurs.ru/legalcases/ab58951f-3740-4e1a-b0eb-535472bc222c" TargetMode="External"/><Relationship Id="rId12" Type="http://schemas.openxmlformats.org/officeDocument/2006/relationships/hyperlink" Target="https://base.garant.ru/69536031/" TargetMode="External"/><Relationship Id="rId13" Type="http://schemas.openxmlformats.org/officeDocument/2006/relationships/hyperlink" Target="https://probankrotstvo.ru/news/sud-utverdil-mirovoe-soglasenie-po-delu-o-bankrotstve-sviaznogo-9613" TargetMode="External"/><Relationship Id="rId14" Type="http://schemas.openxmlformats.org/officeDocument/2006/relationships/hyperlink" Target="https://www.interfax.ru/amp/897154" TargetMode="External"/><Relationship Id="rId15" Type="http://schemas.openxmlformats.org/officeDocument/2006/relationships/hyperlink" Target="https://www.kommersant.ru/doc/6395813" TargetMode="External"/><Relationship Id="rId16" Type="http://schemas.openxmlformats.org/officeDocument/2006/relationships/hyperlink" Target="https://www.kommersant.ru/doc/6196675" TargetMode="External"/><Relationship Id="rId17" Type="http://schemas.openxmlformats.org/officeDocument/2006/relationships/hyperlink" Target="https://www.cnews.ru/news/top/2018-01-25_internetprodazhi_svyaznogo_za_god_vzleteli_na" TargetMode="External"/><Relationship Id="rId18" Type="http://schemas.openxmlformats.org/officeDocument/2006/relationships/hyperlink" Target="https://rt.rbc.ru/technology_and_media/28/04/2018/5ae344f09a794785d0b58eaf" TargetMode="External"/><Relationship Id="rId19" Type="http://schemas.openxmlformats.org/officeDocument/2006/relationships/hyperlink" Target="https://www.retail.ru/news/za-vremya-pandemii-set-svyaznoy-zakryla-1000-magazinov-10-sentyabrya-2020-197594/" TargetMode="External"/><Relationship Id="rId20" Type="http://schemas.openxmlformats.org/officeDocument/2006/relationships/hyperlink" Target="https://www.kommersant.ru/doc/2640574" TargetMode="External"/><Relationship Id="rId21" Type="http://schemas.openxmlformats.org/officeDocument/2006/relationships/hyperlink" Target="https://www.mobilecomm.ru/svyaznoy-obyavlyaet-ob-uvelichenii-oborota-na-70-v-2012-g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