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Налоговый аудит малого бизнеса — 2026</w:t>
      </w:r>
    </w:p>
    <w:p>
      <w:pPr>
        <w:jc w:val="center"/>
      </w:pPr>
      <w:r>
        <w:rPr>
          <w:i/>
        </w:rPr>
        <w:t>Рабочий документ к статье «Налоги малого бизнеса — 2026: что уже изменилось и что проверить до конца года»</w:t>
      </w:r>
    </w:p>
    <w:p>
      <w:pPr>
        <w:jc w:val="center"/>
      </w:pPr>
      <w:r>
        <w:t>Актуально на 20.08.2026 · bizmicroscope.ru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vAlign w:val="center"/>
            <w:shd w:fill="F5E9D2"/>
          </w:tcPr>
          <w:p>
            <w:r>
              <w:rPr>
                <w:b/>
              </w:rPr>
              <w:t>Как пользоваться</w:t>
            </w:r>
          </w:p>
          <w:p>
            <w:r>
              <w:t>Заполняйте документ по фактическим данным бизнеса. В каждом блоке отмечайте статус, цифры, риск и следующее действие. Если ответ зависит от региона, вида деятельности или структуры операций, фиксируйте вопрос для бухгалтера/налогового консультанта вместо предположения.</w:t>
            </w:r>
          </w:p>
          <w:p>
            <w:r>
              <w:t>Не меняйте налоговый режим только по одной ставке. Сначала сравните цену, НДС, закупки, маржу, договоры и денежный поток.</w:t>
            </w:r>
          </w:p>
        </w:tc>
      </w:tr>
    </w:tbl>
    <w:p>
      <w:pPr>
        <w:pStyle w:val="Heading1"/>
      </w:pPr>
      <w:r>
        <w:t>1. Карточка бизнеса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Организация / ИП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Регион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Основной ОКВЭД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Налоговый режим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Объект УСН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Есть ПСН</w:t>
            </w:r>
          </w:p>
        </w:tc>
        <w:tc>
          <w:tcPr>
            <w:tcW w:type="dxa" w:w="5100"/>
          </w:tcPr>
          <w:p>
            <w:r>
              <w:t>Да / Нет</w:t>
            </w:r>
          </w:p>
        </w:tc>
      </w:tr>
      <w:tr>
        <w:tc>
          <w:tcPr>
            <w:tcW w:type="dxa" w:w="5100"/>
          </w:tcPr>
          <w:p>
            <w:r>
              <w:t>Есть сотрудники</w:t>
            </w:r>
          </w:p>
        </w:tc>
        <w:tc>
          <w:tcPr>
            <w:tcW w:type="dxa" w:w="5100"/>
          </w:tcPr>
          <w:p>
            <w:r>
              <w:t>Да / Нет</w:t>
            </w:r>
          </w:p>
        </w:tc>
      </w:tr>
      <w:tr>
        <w:tc>
          <w:tcPr>
            <w:tcW w:type="dxa" w:w="5100"/>
          </w:tcPr>
          <w:p>
            <w:r>
              <w:t>Руководитель коммерческой организации</w:t>
            </w:r>
          </w:p>
        </w:tc>
        <w:tc>
          <w:tcPr>
            <w:tcW w:type="dxa" w:w="5100"/>
          </w:tcPr>
          <w:p>
            <w:r/>
          </w:p>
        </w:tc>
      </w:tr>
    </w:tbl>
    <w:p>
      <w:pPr>
        <w:pStyle w:val="Heading1"/>
      </w:pPr>
      <w:r>
        <w:t>2. Ключевые ориентиры на 2026 год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Ориентир</w:t>
            </w:r>
          </w:p>
        </w:tc>
        <w:tc>
          <w:tcPr>
            <w:tcW w:type="dxa" w:w="5100"/>
          </w:tcPr>
          <w:p>
            <w:r>
              <w:t>Что означает</w:t>
            </w:r>
          </w:p>
        </w:tc>
      </w:tr>
      <w:tr>
        <w:tc>
          <w:tcPr>
            <w:tcW w:type="dxa" w:w="5100"/>
          </w:tcPr>
          <w:p>
            <w:r>
              <w:t>20 млн ₽</w:t>
            </w:r>
          </w:p>
        </w:tc>
        <w:tc>
          <w:tcPr>
            <w:tcW w:type="dxa" w:w="5100"/>
          </w:tcPr>
          <w:p>
            <w:r>
              <w:t>Порог освобождения от НДС на УСН в 2026 году; также лимит ПСН в 2026 году, но это разные нормы.</w:t>
            </w:r>
          </w:p>
        </w:tc>
      </w:tr>
      <w:tr>
        <w:tc>
          <w:tcPr>
            <w:tcW w:type="dxa" w:w="5100"/>
          </w:tcPr>
          <w:p>
            <w:r>
              <w:t>22%</w:t>
            </w:r>
          </w:p>
        </w:tc>
        <w:tc>
          <w:tcPr>
            <w:tcW w:type="dxa" w:w="5100"/>
          </w:tcPr>
          <w:p>
            <w:r>
              <w:t>Основная ставка НДС с 01.01.2026.</w:t>
            </w:r>
          </w:p>
        </w:tc>
      </w:tr>
      <w:tr>
        <w:tc>
          <w:tcPr>
            <w:tcW w:type="dxa" w:w="5100"/>
          </w:tcPr>
          <w:p>
            <w:r>
              <w:t>272,5 млн ₽</w:t>
            </w:r>
          </w:p>
        </w:tc>
        <w:tc>
          <w:tcPr>
            <w:tcW w:type="dxa" w:w="5100"/>
          </w:tcPr>
          <w:p>
            <w:r>
              <w:t>Верхняя граница дохода для специальной ставки НДС 5% в 2026 году.</w:t>
            </w:r>
          </w:p>
        </w:tc>
      </w:tr>
      <w:tr>
        <w:tc>
          <w:tcPr>
            <w:tcW w:type="dxa" w:w="5100"/>
          </w:tcPr>
          <w:p>
            <w:r>
              <w:t>490,5 млн ₽</w:t>
            </w:r>
          </w:p>
        </w:tc>
        <w:tc>
          <w:tcPr>
            <w:tcW w:type="dxa" w:w="5100"/>
          </w:tcPr>
          <w:p>
            <w:r>
              <w:t>Предельный доход для применения УСН в 2026 году; верхняя граница для специальной ставки НДС 7%.</w:t>
            </w:r>
          </w:p>
        </w:tc>
      </w:tr>
      <w:tr>
        <w:tc>
          <w:tcPr>
            <w:tcW w:type="dxa" w:w="5100"/>
          </w:tcPr>
          <w:p>
            <w:r>
              <w:t>218 млн ₽</w:t>
            </w:r>
          </w:p>
        </w:tc>
        <w:tc>
          <w:tcPr>
            <w:tcW w:type="dxa" w:w="5100"/>
          </w:tcPr>
          <w:p>
            <w:r>
              <w:t>Лимит остаточной стоимости основных средств для УСН.</w:t>
            </w:r>
          </w:p>
        </w:tc>
      </w:tr>
      <w:tr>
        <w:tc>
          <w:tcPr>
            <w:tcW w:type="dxa" w:w="5100"/>
          </w:tcPr>
          <w:p>
            <w:r>
              <w:t>130 человек</w:t>
            </w:r>
          </w:p>
        </w:tc>
        <w:tc>
          <w:tcPr>
            <w:tcW w:type="dxa" w:w="5100"/>
          </w:tcPr>
          <w:p>
            <w:r>
              <w:t>Предельная средняя численность работников для УСН.</w:t>
            </w:r>
          </w:p>
        </w:tc>
      </w:tr>
      <w:tr>
        <w:tc>
          <w:tcPr>
            <w:tcW w:type="dxa" w:w="5100"/>
          </w:tcPr>
          <w:p>
            <w:r>
              <w:t>40 639,50 ₽</w:t>
            </w:r>
          </w:p>
        </w:tc>
        <w:tc>
          <w:tcPr>
            <w:tcW w:type="dxa" w:w="5100"/>
          </w:tcPr>
          <w:p>
            <w:r>
              <w:t>1,5 федерального МРОТ — граница для льготных тарифов страховых взносов при наличии права.</w:t>
            </w:r>
          </w:p>
        </w:tc>
      </w:tr>
      <w:tr>
        <w:tc>
          <w:tcPr>
            <w:tcW w:type="dxa" w:w="5100"/>
          </w:tcPr>
          <w:p>
            <w:r>
              <w:t>8 127,90 ₽</w:t>
            </w:r>
          </w:p>
        </w:tc>
        <w:tc>
          <w:tcPr>
            <w:tcW w:type="dxa" w:w="5100"/>
          </w:tcPr>
          <w:p>
            <w:r>
              <w:t>Минимальные взносы за директора за полный месяц при общем тарифе 30% и отсутствии льгот.</w:t>
            </w:r>
          </w:p>
        </w:tc>
      </w:tr>
    </w:tbl>
    <w:p>
      <w:pPr>
        <w:pStyle w:val="Heading1"/>
      </w:pPr>
      <w:r>
        <w:t>3. Доход и освобождение от НДС</w:t>
      </w:r>
    </w:p>
    <w:p>
      <w:r>
        <w:t>Определяем, с какого момента у бизнеса возникает обязанность по НДС.</w:t>
      </w:r>
    </w:p>
    <w:p>
      <w:pPr>
        <w:spacing w:after="40"/>
      </w:pPr>
      <w:r>
        <w:t>☐ Посчитать доход за 2025 год и сравнить с 20 млн ₽.</w:t>
      </w:r>
    </w:p>
    <w:p>
      <w:pPr>
        <w:spacing w:after="40"/>
      </w:pPr>
      <w:r>
        <w:t>☐ Зафиксировать доход с 01.01.2026 по текущую дату.</w:t>
      </w:r>
    </w:p>
    <w:p>
      <w:pPr>
        <w:spacing w:after="40"/>
      </w:pPr>
      <w:r>
        <w:t>☐ Если 20 млн ₽ превышены в 2026 году — определить месяц превышения.</w:t>
      </w:r>
    </w:p>
    <w:p>
      <w:pPr>
        <w:spacing w:after="40"/>
      </w:pPr>
      <w:r>
        <w:t>☐ Проверить, что НДС исчисляется с первого числа следующего месяца.</w:t>
      </w:r>
    </w:p>
    <w:p>
      <w:pPr>
        <w:spacing w:after="40"/>
      </w:pPr>
      <w:r>
        <w:t>☐ Проверить, что расчёт не путает порог НДС с лимитом самой УСН.</w:t>
      </w:r>
    </w:p>
    <w:p>
      <w:pPr>
        <w:spacing w:after="40"/>
      </w:pPr>
      <w:r>
        <w:t>☐ Учесть июльские изменения по ФЗ № 228-ФЗ при планировании следующих лет.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Доход за 2025 год, ₽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Доход 2026 YTD, ₽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Месяц ожидаемого / фактического превышения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Статус по НДС</w:t>
            </w:r>
          </w:p>
        </w:tc>
        <w:tc>
          <w:tcPr>
            <w:tcW w:type="dxa" w:w="5100"/>
          </w:tcPr>
          <w:p>
            <w:r/>
          </w:p>
        </w:tc>
      </w:tr>
    </w:tbl>
    <w:p>
      <w:pPr>
        <w:pStyle w:val="Heading1"/>
      </w:pPr>
      <w:r>
        <w:t>4. Выбор ставки НДС</w:t>
      </w:r>
    </w:p>
    <w:p>
      <w:r>
        <w:t>Если освобождения нет, сравниваем сценарии не по проценту, а по итоговой экономике.</w:t>
      </w:r>
    </w:p>
    <w:p>
      <w:pPr>
        <w:spacing w:after="40"/>
      </w:pPr>
      <w:r>
        <w:t>☐ Определить доступность 5%, 7% и общеустановленных ставок.</w:t>
      </w:r>
    </w:p>
    <w:p>
      <w:pPr>
        <w:spacing w:after="40"/>
      </w:pPr>
      <w:r>
        <w:t>☐ Зафиксировать закупки у поставщиков с НДС и сумму входного НДС.</w:t>
      </w:r>
    </w:p>
    <w:p>
      <w:pPr>
        <w:spacing w:after="40"/>
      </w:pPr>
      <w:r>
        <w:t>☐ Разделить клиентов на B2B и B2C.</w:t>
      </w:r>
    </w:p>
    <w:p>
      <w:pPr>
        <w:spacing w:after="40"/>
      </w:pPr>
      <w:r>
        <w:t>☐ Проверить, можно ли добавить НДС к цене или цена для клиента фактически фиксирована.</w:t>
      </w:r>
    </w:p>
    <w:p>
      <w:pPr>
        <w:spacing w:after="40"/>
      </w:pPr>
      <w:r>
        <w:t>☐ Сравнить 5% / 7% без вычета и 22% с вычетом.</w:t>
      </w:r>
    </w:p>
    <w:p>
      <w:pPr>
        <w:spacing w:after="40"/>
      </w:pPr>
      <w:r>
        <w:t>☐ Зафиксировать выбранный сценарий и причину.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Доля закупок с НДС, %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Входной НДС за месяц, ₽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Доля B2B, %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Доля B2C, %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Выбранный сценарий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Причина выбора</w:t>
            </w:r>
          </w:p>
        </w:tc>
        <w:tc>
          <w:tcPr>
            <w:tcW w:type="dxa" w:w="5100"/>
          </w:tcPr>
          <w:p>
            <w:r/>
          </w:p>
        </w:tc>
      </w:tr>
    </w:tbl>
    <w:p>
      <w:pPr>
        <w:pStyle w:val="Heading1"/>
      </w:pPr>
      <w:r>
        <w:t>5. Договоры, оферты и цены</w:t>
      </w:r>
    </w:p>
    <w:p>
      <w:r>
        <w:t>Проверяем коммерческий контур до возникновения дополнительной налоговой нагрузки.</w:t>
      </w:r>
    </w:p>
    <w:p>
      <w:pPr>
        <w:spacing w:after="40"/>
      </w:pPr>
      <w:r>
        <w:t>☐ В договорах явно указано, включает ли цена НДС.</w:t>
      </w:r>
    </w:p>
    <w:p>
      <w:pPr>
        <w:spacing w:after="40"/>
      </w:pPr>
      <w:r>
        <w:t>☐ Проверены условия изменения цены.</w:t>
      </w:r>
    </w:p>
    <w:p>
      <w:pPr>
        <w:spacing w:after="40"/>
      </w:pPr>
      <w:r>
        <w:t>☐ Обновлены счета, оферты, прайс-листы и шаблоны КП.</w:t>
      </w:r>
    </w:p>
    <w:p>
      <w:pPr>
        <w:spacing w:after="40"/>
      </w:pPr>
      <w:r>
        <w:t>☐ Пересчитана маржа для B2B и B2C клиентов.</w:t>
      </w:r>
    </w:p>
    <w:p>
      <w:pPr>
        <w:spacing w:after="40"/>
      </w:pPr>
      <w:r>
        <w:t>☐ Отдельно рассмотрены длинные договоры и авансы.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Договоры для изменения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Клиенты / сегменты с риском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Новая ценовая логика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Срок внедрения изменений</w:t>
            </w:r>
          </w:p>
        </w:tc>
        <w:tc>
          <w:tcPr>
            <w:tcW w:type="dxa" w:w="5100"/>
          </w:tcPr>
          <w:p>
            <w:r/>
          </w:p>
        </w:tc>
      </w:tr>
    </w:tbl>
    <w:p>
      <w:pPr>
        <w:pStyle w:val="Heading1"/>
      </w:pPr>
      <w:r>
        <w:t>6. УСН</w:t>
      </w:r>
    </w:p>
    <w:p>
      <w:r>
        <w:t>Проверяем право на режим и региональные особенности.</w:t>
      </w:r>
    </w:p>
    <w:p>
      <w:pPr>
        <w:spacing w:after="40"/>
      </w:pPr>
      <w:r>
        <w:t>☐ Доход не превышает 490,5 млн ₽.</w:t>
      </w:r>
    </w:p>
    <w:p>
      <w:pPr>
        <w:spacing w:after="40"/>
      </w:pPr>
      <w:r>
        <w:t>☐ Остаточная стоимость ОС не превышает 218 млн ₽.</w:t>
      </w:r>
    </w:p>
    <w:p>
      <w:pPr>
        <w:spacing w:after="40"/>
      </w:pPr>
      <w:r>
        <w:t>☐ Средняя численность не превышает 130 человек.</w:t>
      </w:r>
    </w:p>
    <w:p>
      <w:pPr>
        <w:spacing w:after="40"/>
      </w:pPr>
      <w:r>
        <w:t>☐ Проверена региональная ставка УСН.</w:t>
      </w:r>
    </w:p>
    <w:p>
      <w:pPr>
        <w:spacing w:after="40"/>
      </w:pPr>
      <w:r>
        <w:t>☐ Для «доходы минус расходы» проверены новые виды расходов и документы.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Текущий доход, ₽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Остаточная стоимость ОС, ₽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Средняя численность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Ставка УСН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Региональная льгота / основание</w:t>
            </w:r>
          </w:p>
        </w:tc>
        <w:tc>
          <w:tcPr>
            <w:tcW w:type="dxa" w:w="5100"/>
          </w:tcPr>
          <w:p>
            <w:r/>
          </w:p>
        </w:tc>
      </w:tr>
    </w:tbl>
    <w:p>
      <w:pPr>
        <w:pStyle w:val="Heading1"/>
      </w:pPr>
      <w:r>
        <w:t>7. ПСН и совмещение режимов</w:t>
      </w:r>
    </w:p>
    <w:p>
      <w:r>
        <w:t>Лимит патента проверяется отдельно от порога НДС.</w:t>
      </w:r>
    </w:p>
    <w:p>
      <w:pPr>
        <w:spacing w:after="40"/>
      </w:pPr>
      <w:r>
        <w:t>☐ Доход за 2025 год для права на ПСН в 2026 году не превысил 20 млн ₽.</w:t>
      </w:r>
    </w:p>
    <w:p>
      <w:pPr>
        <w:spacing w:after="40"/>
      </w:pPr>
      <w:r>
        <w:t>☐ Доход с начала 2026 года контролируется ежемесячно.</w:t>
      </w:r>
    </w:p>
    <w:p>
      <w:pPr>
        <w:spacing w:after="40"/>
      </w:pPr>
      <w:r>
        <w:t>☐ При совмещении ПСН и УСН рассчитан совокупный доход.</w:t>
      </w:r>
    </w:p>
    <w:p>
      <w:pPr>
        <w:spacing w:after="40"/>
      </w:pPr>
      <w:r>
        <w:t>☐ Оценено, что произойдёт при превышении лимита и с какого периода.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Доход ПСН, ₽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Доход УСН, ₽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Совокупный доход, ₽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Запас до лимита, ₽</w:t>
            </w:r>
          </w:p>
        </w:tc>
        <w:tc>
          <w:tcPr>
            <w:tcW w:type="dxa" w:w="5100"/>
          </w:tcPr>
          <w:p>
            <w:r/>
          </w:p>
        </w:tc>
      </w:tr>
    </w:tbl>
    <w:p>
      <w:pPr>
        <w:pStyle w:val="Heading1"/>
      </w:pPr>
      <w:r>
        <w:t>8. Страховые взносы МСП</w:t>
      </w:r>
    </w:p>
    <w:p>
      <w:r>
        <w:t>Проверяем право на пониженный тариф, а не применяем его автоматически.</w:t>
      </w:r>
    </w:p>
    <w:p>
      <w:pPr>
        <w:spacing w:after="40"/>
      </w:pPr>
      <w:r>
        <w:t>☐ Компания / ИП включены в реестр МСП.</w:t>
      </w:r>
    </w:p>
    <w:p>
      <w:pPr>
        <w:spacing w:after="40"/>
      </w:pPr>
      <w:r>
        <w:t>☐ Основной ОКВЭД входит в применимый перечень.</w:t>
      </w:r>
    </w:p>
    <w:p>
      <w:pPr>
        <w:spacing w:after="40"/>
      </w:pPr>
      <w:r>
        <w:t>☐ Основной ОКВЭД корректно отражён в ЕГРЮЛ / ЕГРИП.</w:t>
      </w:r>
    </w:p>
    <w:p>
      <w:pPr>
        <w:spacing w:after="40"/>
      </w:pPr>
      <w:r>
        <w:t>☐ Доля доходов от основного вида деятельности не менее 70%.</w:t>
      </w:r>
    </w:p>
    <w:p>
      <w:pPr>
        <w:spacing w:after="40"/>
      </w:pPr>
      <w:r>
        <w:t>☐ Для обрабатывающего производства отдельно проверено право на 7,6%.</w:t>
      </w:r>
    </w:p>
    <w:p>
      <w:pPr>
        <w:spacing w:after="40"/>
      </w:pPr>
      <w:r>
        <w:t>☐ При отсутствии права выполнен пересчёт по общему тарифу.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Основной ОКВЭД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Доля профильного дохода, %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Текущий тариф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Риск пересчёта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Действие</w:t>
            </w:r>
          </w:p>
        </w:tc>
        <w:tc>
          <w:tcPr>
            <w:tcW w:type="dxa" w:w="5100"/>
          </w:tcPr>
          <w:p>
            <w:r/>
          </w:p>
        </w:tc>
      </w:tr>
    </w:tbl>
    <w:p>
      <w:pPr>
        <w:pStyle w:val="Heading1"/>
      </w:pPr>
      <w:r>
        <w:t>9. Руководитель коммерческой организации</w:t>
      </w:r>
    </w:p>
    <w:p>
      <w:r>
        <w:t>Минимальная база по страховым взносам требует отдельной проверки даже при отсутствии деятельности.</w:t>
      </w:r>
    </w:p>
    <w:p>
      <w:pPr>
        <w:spacing w:after="40"/>
      </w:pPr>
      <w:r>
        <w:t>☐ Определён единоличный исполнительный орган.</w:t>
      </w:r>
    </w:p>
    <w:p>
      <w:pPr>
        <w:spacing w:after="40"/>
      </w:pPr>
      <w:r>
        <w:t>☐ Зафиксированы фактические выплаты руководителю.</w:t>
      </w:r>
    </w:p>
    <w:p>
      <w:pPr>
        <w:spacing w:after="40"/>
      </w:pPr>
      <w:r>
        <w:t>☐ Если выплаты ниже МРОТ, проверена минимальная база 27 093 ₽ за полный месяц.</w:t>
      </w:r>
    </w:p>
    <w:p>
      <w:pPr>
        <w:spacing w:after="40"/>
      </w:pPr>
      <w:r>
        <w:t>☐ При общем тарифе 30% проверены минимальные взносы 8 127,90 ₽.</w:t>
      </w:r>
    </w:p>
    <w:p>
      <w:pPr>
        <w:spacing w:after="40"/>
      </w:pPr>
      <w:r>
        <w:t>☐ Проверено отражение в РСВ, уведомлениях и персонифицированных сведениях.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Руководитель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Фактическая выплата, ₽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Минимальная база, ₽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Тариф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Взносы за месяц, ₽</w:t>
            </w:r>
          </w:p>
        </w:tc>
        <w:tc>
          <w:tcPr>
            <w:tcW w:type="dxa" w:w="5100"/>
          </w:tcPr>
          <w:p>
            <w:r/>
          </w:p>
        </w:tc>
      </w:tr>
    </w:tbl>
    <w:p>
      <w:pPr>
        <w:pStyle w:val="Heading1"/>
      </w:pPr>
      <w:r>
        <w:t>10. Матрица рисков и план действий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t>Вопрос</w:t>
            </w:r>
          </w:p>
        </w:tc>
        <w:tc>
          <w:tcPr>
            <w:tcW w:type="dxa" w:w="2040"/>
          </w:tcPr>
          <w:p>
            <w:r>
              <w:t>Статус</w:t>
            </w:r>
          </w:p>
        </w:tc>
        <w:tc>
          <w:tcPr>
            <w:tcW w:type="dxa" w:w="2040"/>
          </w:tcPr>
          <w:p>
            <w:r>
              <w:t>Финансовый риск</w:t>
            </w:r>
          </w:p>
        </w:tc>
        <w:tc>
          <w:tcPr>
            <w:tcW w:type="dxa" w:w="2040"/>
          </w:tcPr>
          <w:p>
            <w:r>
              <w:t>Следующее действие</w:t>
            </w:r>
          </w:p>
        </w:tc>
        <w:tc>
          <w:tcPr>
            <w:tcW w:type="dxa" w:w="2040"/>
          </w:tcPr>
          <w:p>
            <w:r>
              <w:t>Срок</w:t>
            </w:r>
          </w:p>
        </w:tc>
      </w:tr>
      <w:tr>
        <w:tc>
          <w:tcPr>
            <w:tcW w:type="dxa" w:w="2040"/>
          </w:tcPr>
          <w:p>
            <w:r>
              <w:t>НДС / порог</w:t>
            </w:r>
          </w:p>
        </w:tc>
        <w:tc>
          <w:tcPr>
            <w:tcW w:type="dxa" w:w="2040"/>
          </w:tcPr>
          <w:p>
            <w:r>
              <w:t>OK / Проверить / Риск</w:t>
            </w:r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</w:tr>
      <w:tr>
        <w:tc>
          <w:tcPr>
            <w:tcW w:type="dxa" w:w="2040"/>
          </w:tcPr>
          <w:p>
            <w:r>
              <w:t>Ставка НДС</w:t>
            </w:r>
          </w:p>
        </w:tc>
        <w:tc>
          <w:tcPr>
            <w:tcW w:type="dxa" w:w="2040"/>
          </w:tcPr>
          <w:p>
            <w:r>
              <w:t>OK / Проверить / Риск</w:t>
            </w:r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</w:tr>
      <w:tr>
        <w:tc>
          <w:tcPr>
            <w:tcW w:type="dxa" w:w="2040"/>
          </w:tcPr>
          <w:p>
            <w:r>
              <w:t>Договоры и цены</w:t>
            </w:r>
          </w:p>
        </w:tc>
        <w:tc>
          <w:tcPr>
            <w:tcW w:type="dxa" w:w="2040"/>
          </w:tcPr>
          <w:p>
            <w:r>
              <w:t>OK / Проверить / Риск</w:t>
            </w:r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</w:tr>
      <w:tr>
        <w:tc>
          <w:tcPr>
            <w:tcW w:type="dxa" w:w="2040"/>
          </w:tcPr>
          <w:p>
            <w:r>
              <w:t>УСН</w:t>
            </w:r>
          </w:p>
        </w:tc>
        <w:tc>
          <w:tcPr>
            <w:tcW w:type="dxa" w:w="2040"/>
          </w:tcPr>
          <w:p>
            <w:r>
              <w:t>OK / Проверить / Риск</w:t>
            </w:r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</w:tr>
      <w:tr>
        <w:tc>
          <w:tcPr>
            <w:tcW w:type="dxa" w:w="2040"/>
          </w:tcPr>
          <w:p>
            <w:r>
              <w:t>ПСН</w:t>
            </w:r>
          </w:p>
        </w:tc>
        <w:tc>
          <w:tcPr>
            <w:tcW w:type="dxa" w:w="2040"/>
          </w:tcPr>
          <w:p>
            <w:r>
              <w:t>OK / Проверить / Риск</w:t>
            </w:r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</w:tr>
      <w:tr>
        <w:tc>
          <w:tcPr>
            <w:tcW w:type="dxa" w:w="2040"/>
          </w:tcPr>
          <w:p>
            <w:r>
              <w:t>Льгота по взносам</w:t>
            </w:r>
          </w:p>
        </w:tc>
        <w:tc>
          <w:tcPr>
            <w:tcW w:type="dxa" w:w="2040"/>
          </w:tcPr>
          <w:p>
            <w:r>
              <w:t>OK / Проверить / Риск</w:t>
            </w:r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</w:tr>
      <w:tr>
        <w:tc>
          <w:tcPr>
            <w:tcW w:type="dxa" w:w="2040"/>
          </w:tcPr>
          <w:p>
            <w:r>
              <w:t>Директор</w:t>
            </w:r>
          </w:p>
        </w:tc>
        <w:tc>
          <w:tcPr>
            <w:tcW w:type="dxa" w:w="2040"/>
          </w:tcPr>
          <w:p>
            <w:r>
              <w:t>OK / Проверить / Риск</w:t>
            </w:r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</w:tr>
      <w:tr>
        <w:tc>
          <w:tcPr>
            <w:tcW w:type="dxa" w:w="2040"/>
          </w:tcPr>
          <w:p>
            <w:r>
              <w:t>Региональные льготы</w:t>
            </w:r>
          </w:p>
        </w:tc>
        <w:tc>
          <w:tcPr>
            <w:tcW w:type="dxa" w:w="2040"/>
          </w:tcPr>
          <w:p>
            <w:r>
              <w:t>OK / Проверить / Риск</w:t>
            </w:r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  <w:tc>
          <w:tcPr>
            <w:tcW w:type="dxa" w:w="2040"/>
          </w:tcPr>
          <w:p>
            <w:r/>
          </w:p>
        </w:tc>
      </w:tr>
    </w:tbl>
    <w:p>
      <w:pPr>
        <w:pStyle w:val="Heading1"/>
      </w:pPr>
      <w:r>
        <w:t>11. Вопросы бухгалтеру / налоговому консультанту</w:t>
      </w:r>
    </w:p>
    <w:p>
      <w:r>
        <w:t>☐ Какой доход по правилам НК РФ участвует в моём пороге освобождения от НДС?</w:t>
      </w:r>
    </w:p>
    <w:p>
      <w:r>
        <w:t>☐ Какой НДС-сценарий даёт меньшую денежную нагрузку с учётом моих закупок?</w:t>
      </w:r>
    </w:p>
    <w:p>
      <w:r>
        <w:t>☐ Нужно ли менять формулировки в действующих договорах?</w:t>
      </w:r>
    </w:p>
    <w:p>
      <w:r>
        <w:t>☐ Есть ли у бизнеса региональная пониженная ставка УСН?</w:t>
      </w:r>
    </w:p>
    <w:p>
      <w:r>
        <w:t>☐ Сохраняю ли я право на ПСН при совмещении режимов?</w:t>
      </w:r>
    </w:p>
    <w:p>
      <w:r>
        <w:t>☐ Есть ли право на пониженные страховые взносы по моему ОКВЭД и структуре доходов?</w:t>
      </w:r>
    </w:p>
    <w:p>
      <w:r>
        <w:t>☐ Как правильно отражать минимальную базу по директору в моей ситуации?</w:t>
      </w:r>
    </w:p>
    <w:p>
      <w:pPr>
        <w:pStyle w:val="Heading1"/>
      </w:pPr>
      <w:r>
        <w:t>12. Источники и дисклеймер</w:t>
      </w:r>
    </w:p>
    <w:p>
      <w:r>
        <w:t>Материал носит информационный характер и не заменяет индивидуальную налоговую, бухгалтерскую или юридическую консультацию. Проверяйте региональные нормы, фактический вид деятельности, структуру операций и актуальную редакцию законодательства перед принятием решения.</w:t>
      </w:r>
    </w:p>
    <w:p>
      <w:pPr>
        <w:pStyle w:val="ListBullet"/>
      </w:pPr>
      <w:r>
        <w:t>ФНС России — «Налоги 2026»: https://www.nalog.gov.ru/new2026/</w:t>
      </w:r>
    </w:p>
    <w:p>
      <w:pPr>
        <w:pStyle w:val="ListBullet"/>
      </w:pPr>
      <w:r>
        <w:t>ФНС России — НДС при УСН: https://www.nalog.gov.ru/rn77/taxation/taxes/nds_usn/</w:t>
      </w:r>
    </w:p>
    <w:p>
      <w:pPr>
        <w:pStyle w:val="ListBullet"/>
      </w:pPr>
      <w:r>
        <w:t>ФНС России — порог НДС на УСН сохранён на уровне 20 млн ₽ (ФЗ № 228-ФЗ): https://www.nalog.gov.ru/rn50/news/activities_fts/16635909/</w:t>
      </w:r>
    </w:p>
    <w:p>
      <w:pPr>
        <w:pStyle w:val="ListBullet"/>
      </w:pPr>
      <w:r>
        <w:t>ФНС России — порог НДС на УСН сохранён до 2029 года: https://www.nalog.gov.ru/rn77/news/activities_fts/16635360/</w:t>
      </w:r>
    </w:p>
    <w:p>
      <w:pPr>
        <w:pStyle w:val="ListBullet"/>
      </w:pPr>
      <w:r>
        <w:t>ФНС России — лимит доходов для ПСН с 2026 года: https://www.nalog.gov.ru/rn77/news/activities_fts/16591879/</w:t>
      </w:r>
    </w:p>
    <w:p>
      <w:pPr>
        <w:pStyle w:val="ListBullet"/>
      </w:pPr>
      <w:r>
        <w:t>ФНС России — страховые взносы МСП в приоритетных отраслях: https://www.nalog.gov.ru/rn77/news/activities_fts/16599875/</w:t>
      </w:r>
    </w:p>
    <w:p>
      <w:pPr>
        <w:pStyle w:val="ListBullet"/>
      </w:pPr>
      <w:r>
        <w:t>ФНС России — условия пониженного тарифа страховых взносов: https://www.nalog.gov.ru/rn50/news/activities_fts/16626179/</w:t>
      </w:r>
    </w:p>
    <w:p>
      <w:pPr>
        <w:pStyle w:val="ListBullet"/>
      </w:pPr>
      <w:r>
        <w:t>ФНС России — страховые взносы за руководителей коммерческих организаций: https://www.nalog.gov.ru/rn77/news/activities_fts/16603635/</w:t>
      </w:r>
    </w:p>
    <w:p>
      <w:pPr>
        <w:pStyle w:val="ListBullet"/>
      </w:pPr>
      <w:r>
        <w:t>ФНС России — изменения УСН и лимиты 2026: https://www.nalog.gov.ru/rn34/news/smi/16600009/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81A1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99703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1A1D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