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Внутренний регламент транспортного ЭДО</w:t>
      </w:r>
    </w:p>
    <w:p>
      <w:r>
        <w:rPr>
          <w:i/>
          <w:color w:val="6B6256"/>
          <w:sz w:val="22"/>
        </w:rPr>
        <w:t>Роли, подписи, МЧД, приёмка, инциденты и контроль запуска</w:t>
      </w:r>
    </w:p>
    <w:p>
      <w:r>
        <w:rPr>
          <w:b/>
          <w:color w:val="C99A42"/>
          <w:sz w:val="18"/>
        </w:rPr>
        <w:t>БИЗНЕС ПОД МИКРОСКОПОМ</w:t>
      </w:r>
    </w:p>
    <w:p>
      <w:r>
        <w:rPr>
          <w:color w:val="746B61"/>
          <w:sz w:val="18"/>
        </w:rPr>
        <w:t>Актуально на 23 августа 2026 года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7F3EB"/>
            <w:tcBorders>
              <w:top w:val="single" w:sz="8" w:color="D8C69A"/>
              <w:left w:val="single" w:sz="8" w:color="D8C69A"/>
              <w:bottom w:val="single" w:sz="8" w:color="D8C69A"/>
              <w:right w:val="single" w:sz="8" w:color="D8C69A"/>
              <w:insideH w:val="single" w:sz="8" w:color="D8C69A"/>
              <w:insideV w:val="single" w:sz="8" w:color="D8C69A"/>
            </w:tcBorders>
          </w:tcPr>
          <w:p>
            <w:r>
              <w:rPr>
                <w:b/>
                <w:color w:val="102238"/>
                <w:sz w:val="22"/>
              </w:rPr>
              <w:t>Как использовать</w:t>
              <w:br/>
            </w:r>
            <w:r>
              <w:rPr>
                <w:color w:val="2B313A"/>
                <w:sz w:val="20"/>
              </w:rPr>
              <w:t>Заполните квадратные скобки, назначьте ФИО и резервных сотрудников, согласуйте с оператором ИС ЭПД и фактическими договорами. Документ — рабочий шаблон, а не универсальная юридическая форма.</w:t>
            </w:r>
          </w:p>
        </w:tc>
      </w:tr>
    </w:tbl>
    <w:p/>
    <w:p>
      <w:pPr>
        <w:pStyle w:val="Heading1"/>
      </w:pPr>
      <w:r>
        <w:t>1. Область действия</w:t>
      </w:r>
    </w:p>
    <w:p>
      <w:r>
        <w:t>Настоящий регламент применяется к перевозкам [перечень подразделений / маршрутов], в которых у [Компания] возникают перевозочные или экспедиторские документы, подлежащие электронному оформлению.</w:t>
      </w:r>
    </w:p>
    <w:p>
      <w:pPr>
        <w:pStyle w:val="Heading1"/>
      </w:pPr>
      <w:r>
        <w:t>2. Ответственные роли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84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1871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Основной сотрудник</w:t>
            </w:r>
          </w:p>
        </w:tc>
        <w:tc>
          <w:tcPr>
            <w:tcW w:type="dxa" w:w="1871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Резервный</w:t>
            </w:r>
          </w:p>
        </w:tc>
        <w:tc>
          <w:tcPr>
            <w:tcW w:type="dxa" w:w="4365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Зона ответственности</w:t>
            </w:r>
          </w:p>
        </w:tc>
      </w:tr>
      <w:tr>
        <w:tc>
          <w:tcPr>
            <w:tcW w:type="dxa" w:w="198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Владелец процесса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[ФИО]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[ФИО]</w:t>
            </w:r>
          </w:p>
        </w:tc>
        <w:tc>
          <w:tcPr>
            <w:tcW w:type="dxa" w:w="436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Общий go-live, решения по критическим сбоям</w:t>
            </w:r>
          </w:p>
        </w:tc>
      </w:tr>
      <w:tr>
        <w:tc>
          <w:tcPr>
            <w:tcW w:type="dxa" w:w="198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Логистика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[ФИО]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[ФИО]</w:t>
            </w:r>
          </w:p>
        </w:tc>
        <w:tc>
          <w:tcPr>
            <w:tcW w:type="dxa" w:w="436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Схема перевозки, перевозчик, маршрут, ТС/водитель</w:t>
            </w:r>
          </w:p>
        </w:tc>
      </w:tr>
      <w:tr>
        <w:tc>
          <w:tcPr>
            <w:tcW w:type="dxa" w:w="198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Склад / отгрузка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[ФИО]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[ФИО]</w:t>
            </w:r>
          </w:p>
        </w:tc>
        <w:tc>
          <w:tcPr>
            <w:tcW w:type="dxa" w:w="436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Фактическая погрузка, данные груза, подпись этапа</w:t>
            </w:r>
          </w:p>
        </w:tc>
      </w:tr>
      <w:tr>
        <w:tc>
          <w:tcPr>
            <w:tcW w:type="dxa" w:w="198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Приёмка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[ФИО]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[ФИО]</w:t>
            </w:r>
          </w:p>
        </w:tc>
        <w:tc>
          <w:tcPr>
            <w:tcW w:type="dxa" w:w="436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Проверка поставки, расхождения, закрытие титула</w:t>
            </w:r>
          </w:p>
        </w:tc>
      </w:tr>
      <w:tr>
        <w:tc>
          <w:tcPr>
            <w:tcW w:type="dxa" w:w="198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IT / 1С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[ФИО]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[ФИО]</w:t>
            </w:r>
          </w:p>
        </w:tc>
        <w:tc>
          <w:tcPr>
            <w:tcW w:type="dxa" w:w="436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Интеграция, доступы, справочники, инциденты</w:t>
            </w:r>
          </w:p>
        </w:tc>
      </w:tr>
      <w:tr>
        <w:tc>
          <w:tcPr>
            <w:tcW w:type="dxa" w:w="198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Юрист / договоры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[ФИО]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[ФИО]</w:t>
            </w:r>
          </w:p>
        </w:tc>
        <w:tc>
          <w:tcPr>
            <w:tcW w:type="dxa" w:w="436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Квалификация схем, исключения, полномочия</w:t>
            </w:r>
          </w:p>
        </w:tc>
      </w:tr>
      <w:tr>
        <w:tc>
          <w:tcPr>
            <w:tcW w:type="dxa" w:w="198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Первая линия поддержки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[ФИО]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[ФИО]</w:t>
            </w:r>
          </w:p>
        </w:tc>
        <w:tc>
          <w:tcPr>
            <w:tcW w:type="dxa" w:w="436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Связь с оператором, журнал инцидентов</w:t>
            </w:r>
          </w:p>
        </w:tc>
      </w:tr>
    </w:tbl>
    <w:p/>
    <w:p>
      <w:pPr>
        <w:pStyle w:val="Heading1"/>
      </w:pPr>
      <w:r>
        <w:t>3. Матрица подписей и МЧД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608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Документ / этап</w:t>
            </w:r>
          </w:p>
        </w:tc>
        <w:tc>
          <w:tcPr>
            <w:tcW w:type="dxa" w:w="2324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Кто подписывает</w:t>
            </w:r>
          </w:p>
        </w:tc>
        <w:tc>
          <w:tcPr>
            <w:tcW w:type="dxa" w:w="1871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Тип подписи</w:t>
            </w:r>
          </w:p>
        </w:tc>
        <w:tc>
          <w:tcPr>
            <w:tcW w:type="dxa" w:w="1361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МЧД</w:t>
            </w:r>
          </w:p>
        </w:tc>
        <w:tc>
          <w:tcPr>
            <w:tcW w:type="dxa" w:w="1928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Резерв</w:t>
            </w:r>
          </w:p>
        </w:tc>
      </w:tr>
      <w:tr>
        <w:tc>
          <w:tcPr>
            <w:tcW w:type="dxa" w:w="260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Создание / Т1 ЭТрН</w:t>
            </w:r>
          </w:p>
        </w:tc>
        <w:tc>
          <w:tcPr>
            <w:tcW w:type="dxa" w:w="232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[роль]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[КЭП/по правилам]</w:t>
            </w:r>
          </w:p>
        </w:tc>
        <w:tc>
          <w:tcPr>
            <w:tcW w:type="dxa" w:w="136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[да/нет]</w:t>
            </w:r>
          </w:p>
        </w:tc>
        <w:tc>
          <w:tcPr>
            <w:tcW w:type="dxa" w:w="192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[роль]</w:t>
            </w:r>
          </w:p>
        </w:tc>
      </w:tr>
      <w:tr>
        <w:tc>
          <w:tcPr>
            <w:tcW w:type="dxa" w:w="260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Т2 перевозчика / водителя</w:t>
            </w:r>
          </w:p>
        </w:tc>
        <w:tc>
          <w:tcPr>
            <w:tcW w:type="dxa" w:w="232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[роль]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[допустимый тип]</w:t>
            </w:r>
          </w:p>
        </w:tc>
        <w:tc>
          <w:tcPr>
            <w:tcW w:type="dxa" w:w="136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[да/нет]</w:t>
            </w:r>
          </w:p>
        </w:tc>
        <w:tc>
          <w:tcPr>
            <w:tcW w:type="dxa" w:w="192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[роль]</w:t>
            </w:r>
          </w:p>
        </w:tc>
      </w:tr>
      <w:tr>
        <w:tc>
          <w:tcPr>
            <w:tcW w:type="dxa" w:w="260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Приёмка / титул грузополучателя</w:t>
            </w:r>
          </w:p>
        </w:tc>
        <w:tc>
          <w:tcPr>
            <w:tcW w:type="dxa" w:w="232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[роль]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[тип]</w:t>
            </w:r>
          </w:p>
        </w:tc>
        <w:tc>
          <w:tcPr>
            <w:tcW w:type="dxa" w:w="136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[да/нет]</w:t>
            </w:r>
          </w:p>
        </w:tc>
        <w:tc>
          <w:tcPr>
            <w:tcW w:type="dxa" w:w="192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[роль]</w:t>
            </w:r>
          </w:p>
        </w:tc>
      </w:tr>
      <w:tr>
        <w:tc>
          <w:tcPr>
            <w:tcW w:type="dxa" w:w="260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Заказ / заявка</w:t>
            </w:r>
          </w:p>
        </w:tc>
        <w:tc>
          <w:tcPr>
            <w:tcW w:type="dxa" w:w="232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[роль]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[тип]</w:t>
            </w:r>
          </w:p>
        </w:tc>
        <w:tc>
          <w:tcPr>
            <w:tcW w:type="dxa" w:w="136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[да/нет]</w:t>
            </w:r>
          </w:p>
        </w:tc>
        <w:tc>
          <w:tcPr>
            <w:tcW w:type="dxa" w:w="192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[роль]</w:t>
            </w:r>
          </w:p>
        </w:tc>
      </w:tr>
      <w:tr>
        <w:tc>
          <w:tcPr>
            <w:tcW w:type="dxa" w:w="260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Экспедиторский документ</w:t>
            </w:r>
          </w:p>
        </w:tc>
        <w:tc>
          <w:tcPr>
            <w:tcW w:type="dxa" w:w="232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[роль]</w:t>
            </w:r>
          </w:p>
        </w:tc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[тип]</w:t>
            </w:r>
          </w:p>
        </w:tc>
        <w:tc>
          <w:tcPr>
            <w:tcW w:type="dxa" w:w="136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[да/нет]</w:t>
            </w:r>
          </w:p>
        </w:tc>
        <w:tc>
          <w:tcPr>
            <w:tcW w:type="dxa" w:w="192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[роль]</w:t>
            </w:r>
          </w:p>
        </w:tc>
      </w:tr>
    </w:tbl>
    <w:p/>
    <w:p>
      <w:pPr>
        <w:pStyle w:val="Heading1"/>
      </w:pPr>
      <w:r>
        <w:t>4. Процесс до выезда автомобиля</w:t>
      </w:r>
    </w:p>
    <w:p>
      <w:pPr>
        <w:pStyle w:val="ListNumber"/>
      </w:pPr>
      <w:r>
        <w:t>Проверить договорную схему и применимый документ.</w:t>
      </w:r>
    </w:p>
    <w:p>
      <w:pPr>
        <w:pStyle w:val="ListNumber"/>
      </w:pPr>
      <w:r>
        <w:t>Проверить контрагента, его оператора и роуминг.</w:t>
      </w:r>
    </w:p>
    <w:p>
      <w:pPr>
        <w:pStyle w:val="ListNumber"/>
      </w:pPr>
      <w:r>
        <w:t>Сверить справочники сторон, груза, ТС и водителя.</w:t>
      </w:r>
    </w:p>
    <w:p>
      <w:pPr>
        <w:pStyle w:val="ListNumber"/>
      </w:pPr>
      <w:r>
        <w:t>Создать документ в выбранной ИС ЭПД.</w:t>
      </w:r>
    </w:p>
    <w:p>
      <w:pPr>
        <w:pStyle w:val="ListNumber"/>
      </w:pPr>
      <w:r>
        <w:t>Проверить обязательные поля до подписания.</w:t>
      </w:r>
    </w:p>
    <w:p>
      <w:pPr>
        <w:pStyle w:val="ListNumber"/>
      </w:pPr>
      <w:r>
        <w:t>Подписать соответствующий титул уполномоченным лицом.</w:t>
      </w:r>
    </w:p>
    <w:p>
      <w:pPr>
        <w:pStyle w:val="ListNumber"/>
      </w:pPr>
      <w:r>
        <w:t>Убедиться, что документ принят следующей стороной.</w:t>
      </w:r>
    </w:p>
    <w:p>
      <w:pPr>
        <w:pStyle w:val="Heading1"/>
      </w:pPr>
      <w:r>
        <w:t>5. Приёмка груза</w:t>
      </w:r>
    </w:p>
    <w:p>
      <w:pPr>
        <w:pStyle w:val="ListBullet"/>
      </w:pPr>
      <w:r>
        <w:t>сопоставить электронные сведения с фактической поставкой;</w:t>
      </w:r>
    </w:p>
    <w:p>
      <w:pPr>
        <w:pStyle w:val="ListBullet"/>
      </w:pPr>
      <w:r>
        <w:t>при расхождении действовать по согласованному сценарию, а не закрывать документ «как обычно»;</w:t>
      </w:r>
    </w:p>
    <w:p>
      <w:pPr>
        <w:pStyle w:val="ListBullet"/>
      </w:pPr>
      <w:r>
        <w:t>подписать этап грузополучателя уполномоченным сотрудником;</w:t>
      </w:r>
    </w:p>
    <w:p>
      <w:pPr>
        <w:pStyle w:val="ListBullet"/>
      </w:pPr>
      <w:r>
        <w:t>если основной сотрудник отсутствует, использовать резервного сотрудника с заранее оформленными полномочиями;</w:t>
      </w:r>
    </w:p>
    <w:p>
      <w:pPr>
        <w:pStyle w:val="ListBullet"/>
      </w:pPr>
      <w:r>
        <w:t>не откладывать подпись до следующего рабочего дня, если это ломает операционный процесс и расчёты с контрагентом.</w:t>
      </w:r>
    </w:p>
    <w:p>
      <w:pPr>
        <w:pStyle w:val="Heading1"/>
      </w:pPr>
      <w:r>
        <w:t>6. Нештатные ситуации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098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Ситуация</w:t>
            </w:r>
          </w:p>
        </w:tc>
        <w:tc>
          <w:tcPr>
            <w:tcW w:type="dxa" w:w="3855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Первое действие</w:t>
            </w:r>
          </w:p>
        </w:tc>
        <w:tc>
          <w:tcPr>
            <w:tcW w:type="dxa" w:w="2608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Кого уведомить</w:t>
            </w:r>
          </w:p>
        </w:tc>
        <w:tc>
          <w:tcPr>
            <w:tcW w:type="dxa" w:w="2494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Контроль закрытия</w:t>
            </w:r>
          </w:p>
        </w:tc>
      </w:tr>
      <w:tr>
        <w:tc>
          <w:tcPr>
            <w:tcW w:type="dxa" w:w="209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Нет связи / сервис недоступен</w:t>
            </w:r>
          </w:p>
        </w:tc>
        <w:tc>
          <w:tcPr>
            <w:tcW w:type="dxa" w:w="385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Проверить статус и инструкцию оператора</w:t>
            </w:r>
          </w:p>
        </w:tc>
        <w:tc>
          <w:tcPr>
            <w:tcW w:type="dxa" w:w="260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Первая линия + оператор</w:t>
            </w:r>
          </w:p>
        </w:tc>
        <w:tc>
          <w:tcPr>
            <w:tcW w:type="dxa" w:w="249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Журнал инцидента + синхронизация</w:t>
            </w:r>
          </w:p>
        </w:tc>
      </w:tr>
      <w:tr>
        <w:tc>
          <w:tcPr>
            <w:tcW w:type="dxa" w:w="209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QR не сформирован</w:t>
            </w:r>
          </w:p>
        </w:tc>
        <w:tc>
          <w:tcPr>
            <w:tcW w:type="dxa" w:w="385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Не придумывать бумажный режим; применить подтверждённый сценарий</w:t>
            </w:r>
          </w:p>
        </w:tc>
        <w:tc>
          <w:tcPr>
            <w:tcW w:type="dxa" w:w="260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Диспетчер + оператор</w:t>
            </w:r>
          </w:p>
        </w:tc>
        <w:tc>
          <w:tcPr>
            <w:tcW w:type="dxa" w:w="249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Проверить появление QR</w:t>
            </w:r>
          </w:p>
        </w:tc>
      </w:tr>
      <w:tr>
        <w:tc>
          <w:tcPr>
            <w:tcW w:type="dxa" w:w="209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Замена ТС</w:t>
            </w:r>
          </w:p>
        </w:tc>
        <w:tc>
          <w:tcPr>
            <w:tcW w:type="dxa" w:w="385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Внести изменение в текущий электронный процесс, если перевозчик не меняется</w:t>
            </w:r>
          </w:p>
        </w:tc>
        <w:tc>
          <w:tcPr>
            <w:tcW w:type="dxa" w:w="260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Диспетчер</w:t>
            </w:r>
          </w:p>
        </w:tc>
        <w:tc>
          <w:tcPr>
            <w:tcW w:type="dxa" w:w="249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Обновлённые сведения / QR</w:t>
            </w:r>
          </w:p>
        </w:tc>
      </w:tr>
      <w:tr>
        <w:tc>
          <w:tcPr>
            <w:tcW w:type="dxa" w:w="209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Замена водителя</w:t>
            </w:r>
          </w:p>
        </w:tc>
        <w:tc>
          <w:tcPr>
            <w:tcW w:type="dxa" w:w="385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Обновить сведения по установленному сценарию</w:t>
            </w:r>
          </w:p>
        </w:tc>
        <w:tc>
          <w:tcPr>
            <w:tcW w:type="dxa" w:w="260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Диспетчер</w:t>
            </w:r>
          </w:p>
        </w:tc>
        <w:tc>
          <w:tcPr>
            <w:tcW w:type="dxa" w:w="249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Проверить подписи и доступ</w:t>
            </w:r>
          </w:p>
        </w:tc>
      </w:tr>
      <w:tr>
        <w:tc>
          <w:tcPr>
            <w:tcW w:type="dxa" w:w="209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Расхождение при приёмке</w:t>
            </w:r>
          </w:p>
        </w:tc>
        <w:tc>
          <w:tcPr>
            <w:tcW w:type="dxa" w:w="385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Зафиксировать фактическое расхождение</w:t>
            </w:r>
          </w:p>
        </w:tc>
        <w:tc>
          <w:tcPr>
            <w:tcW w:type="dxa" w:w="260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Логистика + контрагент</w:t>
            </w:r>
          </w:p>
        </w:tc>
        <w:tc>
          <w:tcPr>
            <w:tcW w:type="dxa" w:w="249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Корректное закрытие документа</w:t>
            </w:r>
          </w:p>
        </w:tc>
      </w:tr>
      <w:tr>
        <w:tc>
          <w:tcPr>
            <w:tcW w:type="dxa" w:w="209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Контрагент не готов</w:t>
            </w:r>
          </w:p>
        </w:tc>
        <w:tc>
          <w:tcPr>
            <w:tcW w:type="dxa" w:w="385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Эскалировать владельцу процесса</w:t>
            </w:r>
          </w:p>
        </w:tc>
        <w:tc>
          <w:tcPr>
            <w:tcW w:type="dxa" w:w="260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Коммерческий/логистика</w:t>
            </w:r>
          </w:p>
        </w:tc>
        <w:tc>
          <w:tcPr>
            <w:tcW w:type="dxa" w:w="249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Юридически корректный план перевозки</w:t>
            </w:r>
          </w:p>
        </w:tc>
      </w:tr>
    </w:tbl>
    <w:p/>
    <w:p>
      <w:pPr>
        <w:pStyle w:val="Heading1"/>
      </w:pPr>
      <w:r>
        <w:t>7. Контроль контрагентов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2381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Контрагент</w:t>
            </w:r>
          </w:p>
        </w:tc>
        <w:tc>
          <w:tcPr>
            <w:tcW w:type="dxa" w:w="1757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2268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Оператор ИС ЭПД</w:t>
            </w:r>
          </w:p>
        </w:tc>
        <w:tc>
          <w:tcPr>
            <w:tcW w:type="dxa" w:w="1417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Роуминг</w:t>
            </w:r>
          </w:p>
        </w:tc>
        <w:tc>
          <w:tcPr>
            <w:tcW w:type="dxa" w:w="2381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Тест</w:t>
            </w:r>
          </w:p>
        </w:tc>
        <w:tc>
          <w:tcPr>
            <w:tcW w:type="dxa" w:w="2098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Ответственный</w:t>
            </w:r>
          </w:p>
        </w:tc>
      </w:tr>
      <w:tr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[Название]</w:t>
            </w:r>
          </w:p>
        </w:tc>
        <w:tc>
          <w:tcPr>
            <w:tcW w:type="dxa" w:w="175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[роль]</w:t>
            </w:r>
          </w:p>
        </w:tc>
        <w:tc>
          <w:tcPr>
            <w:tcW w:type="dxa" w:w="226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[оператор]</w:t>
            </w:r>
          </w:p>
        </w:tc>
        <w:tc>
          <w:tcPr>
            <w:tcW w:type="dxa" w:w="14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[да/нет]</w:t>
            </w:r>
          </w:p>
        </w:tc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[дата/результат]</w:t>
            </w:r>
          </w:p>
        </w:tc>
        <w:tc>
          <w:tcPr>
            <w:tcW w:type="dxa" w:w="209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[ФИО]</w:t>
            </w:r>
          </w:p>
        </w:tc>
      </w:tr>
      <w:tr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[Название]</w:t>
            </w:r>
          </w:p>
        </w:tc>
        <w:tc>
          <w:tcPr>
            <w:tcW w:type="dxa" w:w="175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[роль]</w:t>
            </w:r>
          </w:p>
        </w:tc>
        <w:tc>
          <w:tcPr>
            <w:tcW w:type="dxa" w:w="226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[оператор]</w:t>
            </w:r>
          </w:p>
        </w:tc>
        <w:tc>
          <w:tcPr>
            <w:tcW w:type="dxa" w:w="14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[да/нет]</w:t>
            </w:r>
          </w:p>
        </w:tc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[дата/результат]</w:t>
            </w:r>
          </w:p>
        </w:tc>
        <w:tc>
          <w:tcPr>
            <w:tcW w:type="dxa" w:w="209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[ФИО]</w:t>
            </w:r>
          </w:p>
        </w:tc>
      </w:tr>
      <w:tr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[Название]</w:t>
            </w:r>
          </w:p>
        </w:tc>
        <w:tc>
          <w:tcPr>
            <w:tcW w:type="dxa" w:w="175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[роль]</w:t>
            </w:r>
          </w:p>
        </w:tc>
        <w:tc>
          <w:tcPr>
            <w:tcW w:type="dxa" w:w="226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[оператор]</w:t>
            </w:r>
          </w:p>
        </w:tc>
        <w:tc>
          <w:tcPr>
            <w:tcW w:type="dxa" w:w="14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[да/нет]</w:t>
            </w:r>
          </w:p>
        </w:tc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[дата/результат]</w:t>
            </w:r>
          </w:p>
        </w:tc>
        <w:tc>
          <w:tcPr>
            <w:tcW w:type="dxa" w:w="209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[ФИО]</w:t>
            </w:r>
          </w:p>
        </w:tc>
      </w:tr>
      <w:tr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[Название]</w:t>
            </w:r>
          </w:p>
        </w:tc>
        <w:tc>
          <w:tcPr>
            <w:tcW w:type="dxa" w:w="175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[роль]</w:t>
            </w:r>
          </w:p>
        </w:tc>
        <w:tc>
          <w:tcPr>
            <w:tcW w:type="dxa" w:w="226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[оператор]</w:t>
            </w:r>
          </w:p>
        </w:tc>
        <w:tc>
          <w:tcPr>
            <w:tcW w:type="dxa" w:w="14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[да/нет]</w:t>
            </w:r>
          </w:p>
        </w:tc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[дата/результат]</w:t>
            </w:r>
          </w:p>
        </w:tc>
        <w:tc>
          <w:tcPr>
            <w:tcW w:type="dxa" w:w="209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[ФИО]</w:t>
            </w:r>
          </w:p>
        </w:tc>
      </w:tr>
      <w:tr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[Название]</w:t>
            </w:r>
          </w:p>
        </w:tc>
        <w:tc>
          <w:tcPr>
            <w:tcW w:type="dxa" w:w="175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[роль]</w:t>
            </w:r>
          </w:p>
        </w:tc>
        <w:tc>
          <w:tcPr>
            <w:tcW w:type="dxa" w:w="226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[оператор]</w:t>
            </w:r>
          </w:p>
        </w:tc>
        <w:tc>
          <w:tcPr>
            <w:tcW w:type="dxa" w:w="14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[да/нет]</w:t>
            </w:r>
          </w:p>
        </w:tc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[дата/результат]</w:t>
            </w:r>
          </w:p>
        </w:tc>
        <w:tc>
          <w:tcPr>
            <w:tcW w:type="dxa" w:w="209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[ФИО]</w:t>
            </w:r>
          </w:p>
        </w:tc>
      </w:tr>
      <w:tr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[Название]</w:t>
            </w:r>
          </w:p>
        </w:tc>
        <w:tc>
          <w:tcPr>
            <w:tcW w:type="dxa" w:w="175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[роль]</w:t>
            </w:r>
          </w:p>
        </w:tc>
        <w:tc>
          <w:tcPr>
            <w:tcW w:type="dxa" w:w="226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[оператор]</w:t>
            </w:r>
          </w:p>
        </w:tc>
        <w:tc>
          <w:tcPr>
            <w:tcW w:type="dxa" w:w="14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[да/нет]</w:t>
            </w:r>
          </w:p>
        </w:tc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[дата/результат]</w:t>
            </w:r>
          </w:p>
        </w:tc>
        <w:tc>
          <w:tcPr>
            <w:tcW w:type="dxa" w:w="209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[ФИО]</w:t>
            </w:r>
          </w:p>
        </w:tc>
      </w:tr>
    </w:tbl>
    <w:p/>
    <w:p>
      <w:pPr>
        <w:pStyle w:val="Heading1"/>
      </w:pPr>
      <w:r>
        <w:t>8. Контроль первых 30 дней</w:t>
      </w:r>
    </w:p>
    <w:p>
      <w:pPr>
        <w:pStyle w:val="ListBullet"/>
      </w:pPr>
      <w:r>
        <w:t>доля перевозок без ручного вмешательства;</w:t>
      </w:r>
    </w:p>
    <w:p>
      <w:pPr>
        <w:pStyle w:val="ListBullet"/>
      </w:pPr>
      <w:r>
        <w:t>количество инцидентов на 100 перевозок;</w:t>
      </w:r>
    </w:p>
    <w:p>
      <w:pPr>
        <w:pStyle w:val="ListBullet"/>
      </w:pPr>
      <w:r>
        <w:t>время от фактической приёмки до закрытия документа;</w:t>
      </w:r>
    </w:p>
    <w:p>
      <w:pPr>
        <w:pStyle w:val="ListBullet"/>
      </w:pPr>
      <w:r>
        <w:t>число случаев ожидания подписанта;</w:t>
      </w:r>
    </w:p>
    <w:p>
      <w:pPr>
        <w:pStyle w:val="ListBullet"/>
      </w:pPr>
      <w:r>
        <w:t>число ошибок в справочниках;</w:t>
      </w:r>
    </w:p>
    <w:p>
      <w:pPr>
        <w:pStyle w:val="ListBullet"/>
      </w:pPr>
      <w:r>
        <w:t>число проблем роуминга;</w:t>
      </w:r>
    </w:p>
    <w:p>
      <w:pPr>
        <w:pStyle w:val="ListBullet"/>
      </w:pPr>
      <w:r>
        <w:t>количество возвратов/корректировок документа;</w:t>
      </w:r>
    </w:p>
    <w:p>
      <w:pPr>
        <w:pStyle w:val="ListBullet"/>
      </w:pPr>
      <w:r>
        <w:t>доля контрагентов, прошедших end-to-end тест.</w:t>
      </w:r>
    </w:p>
    <w:p>
      <w:pPr>
        <w:pStyle w:val="Heading1"/>
      </w:pPr>
      <w:r>
        <w:t>9. Критерии GO / RECHECK / STOP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1871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8617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b/>
                <w:color w:val="FFFFFF"/>
                <w:sz w:val="18"/>
              </w:rPr>
              <w:t>Когда применять</w:t>
            </w:r>
          </w:p>
        </w:tc>
      </w:tr>
      <w:tr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GO</w:t>
            </w:r>
          </w:p>
        </w:tc>
        <w:tc>
          <w:tcPr>
            <w:tcW w:type="dxa" w:w="86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Критичные схемы классифицированы, оператор и роуминг подтверждены, подписи/МЧД готовы, есть успешный end-to-end тест.</w:t>
            </w:r>
          </w:p>
        </w:tc>
      </w:tr>
      <w:tr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RECHECK</w:t>
            </w:r>
          </w:p>
        </w:tc>
        <w:tc>
          <w:tcPr>
            <w:tcW w:type="dxa" w:w="86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color w:val="2B313A"/>
                <w:sz w:val="17"/>
              </w:rPr>
              <w:t>Есть рабочий обходной процесс, но остаются некритичные ручные операции или неподтверждённые второстепенные контрагенты.</w:t>
            </w:r>
          </w:p>
        </w:tc>
      </w:tr>
      <w:tr>
        <w:tc>
          <w:tcPr>
            <w:tcW w:type="dxa" w:w="187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STOP</w:t>
            </w:r>
          </w:p>
        </w:tc>
        <w:tc>
          <w:tcPr>
            <w:tcW w:type="dxa" w:w="8617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color w:val="2B313A"/>
                <w:sz w:val="17"/>
              </w:rPr>
              <w:t>Не определена применимость, нет подписанта, не работает нужный формат/роуминг или реальная перевозка не проходит до закрытия.</w:t>
            </w:r>
          </w:p>
        </w:tc>
      </w:tr>
    </w:tbl>
    <w:p/>
    <w:p>
      <w:pPr>
        <w:pStyle w:val="Heading1"/>
      </w:pPr>
      <w:r>
        <w:t>Официальные источники</w:t>
      </w:r>
    </w:p>
    <w:p>
      <w:r>
        <w:rPr>
          <w:b/>
        </w:rPr>
        <w:t xml:space="preserve">Федеральный закон от 07.06.2025 № 140-ФЗ: </w:t>
      </w:r>
      <w:r>
        <w:t>https://publication.pravo.gov.ru/Document/View/0001202506070016</w:t>
      </w:r>
    </w:p>
    <w:p>
      <w:r>
        <w:rPr>
          <w:b/>
        </w:rPr>
        <w:t xml:space="preserve">ФНС России — обязательный транспортный ЭДО: </w:t>
      </w:r>
      <w:r>
        <w:t>https://www.nalog.gov.ru/rn77/related_activities/el_doc/el_bus_entities/edotransp/</w:t>
      </w:r>
    </w:p>
    <w:p>
      <w:r>
        <w:rPr>
          <w:b/>
        </w:rPr>
        <w:t xml:space="preserve">Минтранс России — ГИС ЭПД: </w:t>
      </w:r>
      <w:r>
        <w:t>https://mintrans.gov.ru/activities/376/</w:t>
      </w:r>
    </w:p>
    <w:p>
      <w:r>
        <w:rPr>
          <w:b/>
        </w:rPr>
        <w:t xml:space="preserve">Минтранс России — общие вопросы по переходу на ЭПД: </w:t>
      </w:r>
      <w:r>
        <w:t>https://mintrans.gov.ru/activities/376/453/454</w:t>
      </w:r>
    </w:p>
    <w:p>
      <w:r>
        <w:rPr>
          <w:b/>
        </w:rPr>
        <w:t xml:space="preserve">Минтранс России — автомобильные перевозки и ЭТрН: </w:t>
      </w:r>
      <w:r>
        <w:t>https://mintrans.gov.ru/activities/376/453/455</w:t>
      </w:r>
    </w:p>
    <w:p>
      <w:r>
        <w:rPr>
          <w:b/>
        </w:rPr>
        <w:t xml:space="preserve">ФНС России — операторы ИС ЭПД: </w:t>
      </w:r>
      <w:r>
        <w:t>https://www.nalog.gov.ru/rn77/oedo/oisepd/</w:t>
      </w:r>
    </w:p>
    <w:p>
      <w:r>
        <w:rPr>
          <w:b/>
        </w:rPr>
        <w:t xml:space="preserve">Минтранс России — вопросы подписания, QR и замены ТС: </w:t>
      </w:r>
      <w:r>
        <w:t>https://mintrans.gov.ru/press-center/news/12842</w:t>
      </w:r>
    </w:p>
    <w:p>
      <w:r>
        <w:rPr>
          <w:b/>
        </w:rPr>
        <w:t xml:space="preserve">Минтранс России — совещание по нестандартным сценариям: </w:t>
      </w:r>
      <w:r>
        <w:t>https://mintrans.gov.ru/press-center/news/12843</w:t>
      </w:r>
    </w:p>
    <w:p>
      <w:r>
        <w:rPr>
          <w:b/>
        </w:rPr>
        <w:t xml:space="preserve">Минтранс России — правила обмена и направления ЭПД: </w:t>
      </w:r>
      <w:r>
        <w:t>https://mintrans.gov.ru/press-center/news/12649</w:t>
      </w:r>
    </w:p>
    <w:p>
      <w:r>
        <w:t>Перед применением конкретного исключения или формата проверьте действующую редакцию нормативного акта и актуальные разъяснения регуляторов. Материал носит информационный характер и не заменяет индивидуальную юридическую консультацию.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2B31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0223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0223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C99A4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102238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