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 w:cs="Arial"/>
          <w:b/>
        </w:rPr>
        <w:t>Обязательный транспортный ЭДО с 1 сентября 2026 года</w:t>
      </w:r>
    </w:p>
    <w:p>
      <w:r>
        <w:rPr>
          <w:rFonts w:ascii="Arial" w:hAnsi="Arial" w:eastAsia="Arial" w:cs="Arial"/>
        </w:rPr>
        <w:t>Практическое руководство для малого и среднего бизнеса • обновление: бесплатный «ЭПД Лайт»</w:t>
      </w:r>
    </w:p>
    <w:p>
      <w:r>
        <w:rPr>
          <w:rFonts w:ascii="Arial" w:hAnsi="Arial" w:eastAsia="Arial" w:cs="Arial"/>
          <w:b/>
          <w:color w:val="C99A42"/>
          <w:sz w:val="18"/>
        </w:rPr>
        <w:t>БИЗНЕС ПОД МИКРОСКОПОМ</w:t>
      </w:r>
    </w:p>
    <w:p>
      <w:r>
        <w:rPr>
          <w:rFonts w:ascii="Arial" w:hAnsi="Arial" w:eastAsia="Arial" w:cs="Arial"/>
        </w:rPr>
        <w:t>Актуально на 3 сентября 2026 года</w:t>
      </w:r>
    </w:p>
    <w:p>
      <w:pPr>
        <w:pStyle w:val="Heading1"/>
      </w:pPr>
      <w:r>
        <w:rPr>
          <w:rFonts w:ascii="Arial" w:hAnsi="Arial" w:eastAsia="Arial" w:cs="Arial"/>
        </w:rPr>
        <w:t>ОБНОВЛЕНИЕ 03.09.2026 · Бесплатный «ЭПД Лайт»</w:t>
      </w:r>
    </w:p>
    <w:p>
      <w:pPr/>
      <w:r>
        <w:rPr>
          <w:rFonts w:ascii="Arial" w:hAnsi="Arial" w:eastAsia="Arial" w:cs="Arial"/>
        </w:rPr>
        <w:t>Оператор ЦРПТ («Честный знак») запустил бесплатный сервис транспортного электронного документооборота «ЭПД Лайт». Он встроен в личный кабинет системы маркировки и является отдельной информационной системой электронных перевозочных документов. Для зарегистрированных пользователей доступ предоставляется автоматически.</w:t>
      </w:r>
    </w:p>
    <w:p>
      <w:pPr>
        <w:pStyle w:val="ListBullet"/>
      </w:pPr>
      <w:r>
        <w:rPr>
          <w:rFonts w:ascii="Arial" w:hAnsi="Arial" w:eastAsia="Arial" w:cs="Arial"/>
        </w:rPr>
        <w:t>сервис позволяет создавать, подписывать и принимать электронные транспортные накладные (ЭТрН) и электронные путевые листы (ЭПЛ);</w:t>
      </w:r>
    </w:p>
    <w:p>
      <w:pPr>
        <w:pStyle w:val="ListBullet"/>
      </w:pPr>
      <w:r>
        <w:rPr>
          <w:rFonts w:ascii="Arial" w:hAnsi="Arial" w:eastAsia="Arial" w:cs="Arial"/>
        </w:rPr>
        <w:t>электронные документы в «ЭПД Лайт» подписываются усиленной квалифицированной электронной подписью;</w:t>
      </w:r>
    </w:p>
    <w:p>
      <w:pPr>
        <w:pStyle w:val="ListBullet"/>
      </w:pPr>
      <w:r>
        <w:rPr>
          <w:rFonts w:ascii="Arial" w:hAnsi="Arial" w:eastAsia="Arial" w:cs="Arial"/>
        </w:rPr>
        <w:t>в актуальном руководстве описаны ручное создание ЭТрН и загрузка XML-файлов, а также роуминг с контрагентами, использующими сторонние ИС ЭПД;</w:t>
      </w:r>
    </w:p>
    <w:p>
      <w:pPr>
        <w:pStyle w:val="ListBullet"/>
      </w:pPr>
      <w:r>
        <w:rPr>
          <w:rFonts w:ascii="Arial" w:hAnsi="Arial" w:eastAsia="Arial" w:cs="Arial"/>
        </w:rPr>
        <w:t>мобильный сценарий и оформление машиночитаемых доверенностей внутри сервиса заявлены оператором как дальнейшее развитие — не считайте их уже доступной базовой функцией без повторной проверки.</w:t>
      </w:r>
    </w:p>
    <w:p>
      <w:pPr/>
      <w:r>
        <w:rPr>
          <w:rFonts w:ascii="Arial" w:hAnsi="Arial" w:eastAsia="Arial" w:cs="Arial"/>
        </w:rPr>
        <w:t>Что меняется для малого бизнеса. Теперь при выборе оператора есть конкретный бесплатный вариант для базовых сценариев. Но «бесплатно» относится к самому сервису: внутренние трудозатраты, настройка справочников, интеграция, обучение, поддержка и доработки могут по-прежнему стоить денег.</w:t>
      </w:r>
    </w:p>
    <w:p>
      <w:pPr>
        <w:pStyle w:val="ListBullet"/>
      </w:pPr>
      <w:r>
        <w:rPr>
          <w:rFonts w:ascii="Arial" w:hAnsi="Arial" w:eastAsia="Arial" w:cs="Arial"/>
        </w:rPr>
        <w:t>«ЭПД Лайт» разумно тестировать в первую очередь, если объём перевозок небольшой, достаточно веб-кабинета/ручного ввода или загрузки XML, а ключевые контрагенты проходят роуминг.</w:t>
      </w:r>
    </w:p>
    <w:p>
      <w:pPr>
        <w:pStyle w:val="ListBullet"/>
      </w:pPr>
      <w:r>
        <w:rPr>
          <w:rFonts w:ascii="Arial" w:hAnsi="Arial" w:eastAsia="Arial" w:cs="Arial"/>
        </w:rPr>
        <w:t>Коммерческий оператор может остаться оправданным, если нужны готовая интеграция с 1С/ERP/TMS/WMS, API, сложная маршрутизация, расширенная автоматизация, мобильная работа, жёсткий SLA или большой поток документов.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7F3EB"/>
            <w:tcBorders>
              <w:top w:val="single" w:sz="8" w:color="D8C69A"/>
              <w:left w:val="single" w:sz="8" w:color="D8C69A"/>
              <w:bottom w:val="single" w:sz="8" w:color="D8C69A"/>
              <w:right w:val="single" w:sz="8" w:color="D8C69A"/>
              <w:insideH w:val="single" w:sz="8" w:color="D8C69A"/>
              <w:insideV w:val="single" w:sz="8" w:color="D8C69A"/>
            </w:tcBorders>
          </w:tcPr>
          <w:p>
            <w:r>
              <w:rPr>
                <w:rFonts w:ascii="Arial" w:hAnsi="Arial" w:eastAsia="Arial" w:cs="Arial"/>
                <w:b/>
                <w:color w:val="102238"/>
                <w:sz w:val="22"/>
              </w:rPr>
              <w:t>Ключевой вывод</w:t>
              <w:br/>
            </w:r>
            <w:r>
              <w:rPr>
                <w:rFonts w:ascii="Arial" w:hAnsi="Arial" w:eastAsia="Arial" w:cs="Arial"/>
                <w:color w:val="2B313A"/>
                <w:sz w:val="20"/>
              </w:rPr>
              <w:t>С 1 сентября 2026 года ряд перевозочных и экспедиторских документов должен формироваться в электронном виде. Дополнительного переходного периода нет. По одной перевозке нельзя произвольно смешивать бумажный и электронный документооборот: бумага остаётся только в прямо установленных случаях.</w:t>
            </w:r>
          </w:p>
        </w:tc>
      </w:tr>
    </w:tbl>
    <w:p/>
    <w:p>
      <w:pPr>
        <w:pStyle w:val="Heading1"/>
      </w:pPr>
      <w:r>
        <w:rPr>
          <w:rFonts w:ascii="Arial" w:hAnsi="Arial" w:eastAsia="Arial" w:cs="Arial"/>
        </w:rPr>
        <w:t>1. Что меняется</w:t>
      </w:r>
    </w:p>
    <w:p>
      <w:r>
        <w:rPr>
          <w:rFonts w:ascii="Arial" w:hAnsi="Arial" w:eastAsia="Arial" w:cs="Arial"/>
        </w:rPr>
        <w:t>Правовая основа перехода — Федеральный закон № 140-ФЗ от 7 июня 2025 года. С 1 сентября 2026 года обязательный электронный формат применяется к ряду документов, возникающих в автомобильных, железнодорожных и воздушных грузоперевозках, а также в транспортно-экспедиционной деятельности.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324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Документ</w:t>
            </w:r>
          </w:p>
        </w:tc>
        <w:tc>
          <w:tcPr>
            <w:tcW w:type="dxa" w:w="243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Когда возникает</w:t>
            </w:r>
          </w:p>
        </w:tc>
        <w:tc>
          <w:tcPr>
            <w:tcW w:type="dxa" w:w="4649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Что проверить бизнесу</w:t>
            </w:r>
          </w:p>
        </w:tc>
      </w:tr>
      <w:tr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Транспортная накладная</w:t>
            </w:r>
          </w:p>
        </w:tc>
        <w:tc>
          <w:tcPr>
            <w:tcW w:type="dxa" w:w="243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Автоперевозка груза по договору перевозки</w:t>
            </w:r>
          </w:p>
        </w:tc>
        <w:tc>
          <w:tcPr>
            <w:tcW w:type="dxa" w:w="464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Роли сторон, оператор ИС ЭПД, подписи, приёмка</w:t>
            </w:r>
          </w:p>
        </w:tc>
      </w:tr>
      <w:tr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Заказ / заявка</w:t>
            </w:r>
          </w:p>
        </w:tc>
        <w:tc>
          <w:tcPr>
            <w:tcW w:type="dxa" w:w="243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Если такой документ используется в автоперевозке</w:t>
            </w:r>
          </w:p>
        </w:tc>
        <w:tc>
          <w:tcPr>
            <w:tcW w:type="dxa" w:w="464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Поддержка формата оператором и контрагентами</w:t>
            </w:r>
          </w:p>
        </w:tc>
      </w:tr>
      <w:tr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Поручение экспедитору</w:t>
            </w:r>
          </w:p>
        </w:tc>
        <w:tc>
          <w:tcPr>
            <w:tcW w:type="dxa" w:w="243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Транспортная экспедиция</w:t>
            </w:r>
          </w:p>
        </w:tc>
        <w:tc>
          <w:tcPr>
            <w:tcW w:type="dxa" w:w="464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Правильная квалификация договора и роль экспедитора</w:t>
            </w:r>
          </w:p>
        </w:tc>
      </w:tr>
      <w:tr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Экспедиторская расписка</w:t>
            </w:r>
          </w:p>
        </w:tc>
        <w:tc>
          <w:tcPr>
            <w:tcW w:type="dxa" w:w="243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Транспортная экспедиция</w:t>
            </w:r>
          </w:p>
        </w:tc>
        <w:tc>
          <w:tcPr>
            <w:tcW w:type="dxa" w:w="464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Кто формирует, подписывает и передаёт документ</w:t>
            </w:r>
          </w:p>
        </w:tc>
      </w:tr>
      <w:tr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Складская расписка</w:t>
            </w:r>
          </w:p>
        </w:tc>
        <w:tc>
          <w:tcPr>
            <w:tcW w:type="dxa" w:w="243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Экспедиция / хранение в рамках услуги</w:t>
            </w:r>
          </w:p>
        </w:tc>
        <w:tc>
          <w:tcPr>
            <w:tcW w:type="dxa" w:w="464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Сценарий склада и полномочия подписантов</w:t>
            </w:r>
          </w:p>
        </w:tc>
      </w:tr>
      <w:tr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Железнодорожная накладная</w:t>
            </w:r>
          </w:p>
        </w:tc>
        <w:tc>
          <w:tcPr>
            <w:tcW w:type="dxa" w:w="243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Железнодорожная грузоперевозка</w:t>
            </w:r>
          </w:p>
        </w:tc>
        <w:tc>
          <w:tcPr>
            <w:tcW w:type="dxa" w:w="464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Формат, оператор, процесс подписания</w:t>
            </w:r>
          </w:p>
        </w:tc>
      </w:tr>
      <w:tr>
        <w:tc>
          <w:tcPr>
            <w:tcW w:type="dxa" w:w="2324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Авиационная грузовая накладная</w:t>
            </w:r>
          </w:p>
        </w:tc>
        <w:tc>
          <w:tcPr>
            <w:tcW w:type="dxa" w:w="243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Воздушная грузоперевозка</w:t>
            </w:r>
          </w:p>
        </w:tc>
        <w:tc>
          <w:tcPr>
            <w:tcW w:type="dxa" w:w="464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Формат и технологическая готовность участников</w:t>
            </w:r>
          </w:p>
        </w:tc>
      </w:tr>
    </w:tbl>
    <w:p/>
    <w:p>
      <w:r>
        <w:rPr>
          <w:rFonts w:ascii="Arial" w:hAnsi="Arial" w:eastAsia="Arial" w:cs="Arial"/>
        </w:rPr>
        <w:t>Важно: наличие электронного формата в ГИС ЭПД само по себе не означает, что он становится обязательным для любой компании с 1 сентября. Например, электронный путевой лист и ряд других форматов имеют отдельное регулирование.</w:t>
      </w:r>
    </w:p>
    <w:p>
      <w:pPr>
        <w:pStyle w:val="Heading1"/>
      </w:pPr>
      <w:r>
        <w:rPr>
          <w:rFonts w:ascii="Arial" w:hAnsi="Arial" w:eastAsia="Arial" w:cs="Arial"/>
        </w:rPr>
        <w:t>2. Кого касается</w:t>
      </w:r>
    </w:p>
    <w:p>
      <w:r>
        <w:rPr>
          <w:rFonts w:ascii="Arial" w:hAnsi="Arial" w:eastAsia="Arial" w:cs="Arial"/>
        </w:rPr>
        <w:t>ФНС указывает на всех участников логистической цепочки, задействованных в перевозке грузов наёмным транспортом: грузоотправителя, перевозчика, грузополучателя и, при наличии, экспедитора. Поэтому изменение касается не только транспортных компаний.</w:t>
      </w:r>
    </w:p>
    <w:p>
      <w:pPr>
        <w:pStyle w:val="ListBullet"/>
      </w:pPr>
      <w:r>
        <w:rPr>
          <w:rFonts w:ascii="Arial" w:hAnsi="Arial" w:eastAsia="Arial" w:cs="Arial"/>
        </w:rPr>
        <w:t>производителя, который отгружает товар стороннему перевозчику;</w:t>
      </w:r>
    </w:p>
    <w:p>
      <w:pPr>
        <w:pStyle w:val="ListBullet"/>
      </w:pPr>
      <w:r>
        <w:rPr>
          <w:rFonts w:ascii="Arial" w:hAnsi="Arial" w:eastAsia="Arial" w:cs="Arial"/>
        </w:rPr>
        <w:t>оптовой или розничной компании, регулярно принимающей поставки;</w:t>
      </w:r>
    </w:p>
    <w:p>
      <w:pPr>
        <w:pStyle w:val="ListBullet"/>
      </w:pPr>
      <w:r>
        <w:rPr>
          <w:rFonts w:ascii="Arial" w:hAnsi="Arial" w:eastAsia="Arial" w:cs="Arial"/>
        </w:rPr>
        <w:t>интернет-магазина и дистрибьютора;</w:t>
      </w:r>
    </w:p>
    <w:p>
      <w:pPr>
        <w:pStyle w:val="ListBullet"/>
      </w:pPr>
      <w:r>
        <w:rPr>
          <w:rFonts w:ascii="Arial" w:hAnsi="Arial" w:eastAsia="Arial" w:cs="Arial"/>
        </w:rPr>
        <w:t>склада и распределительного центра;</w:t>
      </w:r>
    </w:p>
    <w:p>
      <w:pPr>
        <w:pStyle w:val="ListBullet"/>
      </w:pPr>
      <w:r>
        <w:rPr>
          <w:rFonts w:ascii="Arial" w:hAnsi="Arial" w:eastAsia="Arial" w:cs="Arial"/>
        </w:rPr>
        <w:t>перевозчика и транспортной компании;</w:t>
      </w:r>
    </w:p>
    <w:p>
      <w:pPr>
        <w:pStyle w:val="ListBullet"/>
      </w:pPr>
      <w:r>
        <w:rPr>
          <w:rFonts w:ascii="Arial" w:hAnsi="Arial" w:eastAsia="Arial" w:cs="Arial"/>
        </w:rPr>
        <w:t>экспедитора и компании, фактически оказывающей экспедиционные услуги.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7F3EB"/>
            <w:tcBorders>
              <w:top w:val="single" w:sz="8" w:color="D8C69A"/>
              <w:left w:val="single" w:sz="8" w:color="D8C69A"/>
              <w:bottom w:val="single" w:sz="8" w:color="D8C69A"/>
              <w:right w:val="single" w:sz="8" w:color="D8C69A"/>
              <w:insideH w:val="single" w:sz="8" w:color="D8C69A"/>
              <w:insideV w:val="single" w:sz="8" w:color="D8C69A"/>
            </w:tcBorders>
          </w:tcPr>
          <w:p>
            <w:r>
              <w:rPr>
                <w:rFonts w:ascii="Arial" w:hAnsi="Arial" w:eastAsia="Arial" w:cs="Arial"/>
                <w:b/>
                <w:color w:val="102238"/>
                <w:sz w:val="22"/>
              </w:rPr>
              <w:t>Риск грузополучателя</w:t>
              <w:br/>
            </w:r>
            <w:r>
              <w:rPr>
                <w:rFonts w:ascii="Arial" w:hAnsi="Arial" w:eastAsia="Arial" w:cs="Arial"/>
                <w:color w:val="2B313A"/>
                <w:sz w:val="20"/>
              </w:rPr>
              <w:t>Компания может не создавать ЭТрН, но всё равно участвовать в её закрытии. ФНС отдельно подчёркивает: грузополучатель подписывает свой титул, подтверждая приёмку. Значит, нужно заранее обеспечить доступ, полномочия и резервного подписанта на фактическое время приёмки.</w:t>
            </w:r>
          </w:p>
        </w:tc>
      </w:tr>
    </w:tbl>
    <w:p/>
    <w:p>
      <w:pPr>
        <w:pStyle w:val="Heading1"/>
      </w:pPr>
      <w:r>
        <w:rPr>
          <w:rFonts w:ascii="Arial" w:hAnsi="Arial" w:eastAsia="Arial" w:cs="Arial"/>
        </w:rPr>
        <w:t>3. Когда транспортная накладная может не возникать</w:t>
      </w:r>
    </w:p>
    <w:p>
      <w:r>
        <w:rPr>
          <w:rFonts w:ascii="Arial" w:hAnsi="Arial" w:eastAsia="Arial" w:cs="Arial"/>
        </w:rPr>
        <w:t>Минтранс разъясняет: если организация перевозит собственный груз собственным транспортом для собственных нужд и договор перевозки груза не заключается, транспортная накладная не требуется. Но это нельзя превращать в универсальное исключение для любых внутренних поездок.</w:t>
      </w:r>
    </w:p>
    <w:p>
      <w:pPr>
        <w:pStyle w:val="ListBullet"/>
      </w:pPr>
      <w:r>
        <w:rPr>
          <w:rFonts w:ascii="Arial" w:hAnsi="Arial" w:eastAsia="Arial" w:cs="Arial"/>
        </w:rPr>
        <w:t>Кому принадлежит груз?</w:t>
      </w:r>
    </w:p>
    <w:p>
      <w:pPr>
        <w:pStyle w:val="ListBullet"/>
      </w:pPr>
      <w:r>
        <w:rPr>
          <w:rFonts w:ascii="Arial" w:hAnsi="Arial" w:eastAsia="Arial" w:cs="Arial"/>
        </w:rPr>
        <w:t>Кому принадлежит транспорт?</w:t>
      </w:r>
    </w:p>
    <w:p>
      <w:pPr>
        <w:pStyle w:val="ListBullet"/>
      </w:pPr>
      <w:r>
        <w:rPr>
          <w:rFonts w:ascii="Arial" w:hAnsi="Arial" w:eastAsia="Arial" w:cs="Arial"/>
        </w:rPr>
        <w:t>Есть ли договор перевозки?</w:t>
      </w:r>
    </w:p>
    <w:p>
      <w:pPr>
        <w:pStyle w:val="ListBullet"/>
      </w:pPr>
      <w:r>
        <w:rPr>
          <w:rFonts w:ascii="Arial" w:hAnsi="Arial" w:eastAsia="Arial" w:cs="Arial"/>
        </w:rPr>
        <w:t>Привлекается ли сторонний перевозчик?</w:t>
      </w:r>
    </w:p>
    <w:p>
      <w:pPr>
        <w:pStyle w:val="ListBullet"/>
      </w:pPr>
      <w:r>
        <w:rPr>
          <w:rFonts w:ascii="Arial" w:hAnsi="Arial" w:eastAsia="Arial" w:cs="Arial"/>
        </w:rPr>
        <w:t>Есть ли экспедитор или фактически экспедиционные услуги?</w:t>
      </w:r>
    </w:p>
    <w:p>
      <w:pPr>
        <w:pStyle w:val="ListBullet"/>
      </w:pPr>
      <w:r>
        <w:rPr>
          <w:rFonts w:ascii="Arial" w:hAnsi="Arial" w:eastAsia="Arial" w:cs="Arial"/>
        </w:rPr>
        <w:t>Совпадают ли грузоотправитель и грузополучатель?</w:t>
      </w:r>
    </w:p>
    <w:p>
      <w:pPr>
        <w:pStyle w:val="ListBullet"/>
      </w:pPr>
      <w:r>
        <w:rPr>
          <w:rFonts w:ascii="Arial" w:hAnsi="Arial" w:eastAsia="Arial" w:cs="Arial"/>
        </w:rPr>
        <w:t>Есть ли специальное бумажное исключение для конкретного сценария?</w:t>
      </w:r>
    </w:p>
    <w:p>
      <w:pPr>
        <w:pStyle w:val="Heading1"/>
      </w:pPr>
      <w:r>
        <w:rPr>
          <w:rFonts w:ascii="Arial" w:hAnsi="Arial" w:eastAsia="Arial" w:cs="Arial"/>
        </w:rPr>
        <w:t>4. Бумага после 1 сентября: только по основанию</w:t>
      </w:r>
    </w:p>
    <w:p>
      <w:r>
        <w:rPr>
          <w:rFonts w:ascii="Arial" w:hAnsi="Arial" w:eastAsia="Arial" w:cs="Arial"/>
        </w:rPr>
        <w:t>Минтранс прямо указывает, что случаи бумажного оформления устанавливаются отдельными приказами. Нельзя использовать бумагу просто потому, что контрагент не успел подключиться или сотруднику так привычнее.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7F3EB"/>
            <w:tcBorders>
              <w:top w:val="single" w:sz="8" w:color="D8C69A"/>
              <w:left w:val="single" w:sz="8" w:color="D8C69A"/>
              <w:bottom w:val="single" w:sz="8" w:color="D8C69A"/>
              <w:right w:val="single" w:sz="8" w:color="D8C69A"/>
              <w:insideH w:val="single" w:sz="8" w:color="D8C69A"/>
              <w:insideV w:val="single" w:sz="8" w:color="D8C69A"/>
            </w:tcBorders>
          </w:tcPr>
          <w:p>
            <w:r>
              <w:rPr>
                <w:rFonts w:ascii="Arial" w:hAnsi="Arial" w:eastAsia="Arial" w:cs="Arial"/>
                <w:b/>
                <w:color w:val="102238"/>
                <w:sz w:val="22"/>
              </w:rPr>
              <w:t>Нет переходного периода</w:t>
              <w:br/>
            </w:r>
            <w:r>
              <w:rPr>
                <w:rFonts w:ascii="Arial" w:hAnsi="Arial" w:eastAsia="Arial" w:cs="Arial"/>
                <w:color w:val="2B313A"/>
                <w:sz w:val="20"/>
              </w:rPr>
              <w:t>Федеральный закон № 140-ФЗ не устанавливает дополнительного переходного периода после 1 сентября 2026 года. Минтранс также указывает, что смешанный документооборот по одной и той же перевозке не предусмотрен: начатый на бумаге процесс завершается на бумаге, начатый электронно — электронно.</w:t>
            </w:r>
          </w:p>
        </w:tc>
      </w:tr>
    </w:tbl>
    <w:p/>
    <w:p>
      <w:pPr>
        <w:pStyle w:val="Heading1"/>
      </w:pPr>
      <w:r>
        <w:rPr>
          <w:rFonts w:ascii="Arial" w:hAnsi="Arial" w:eastAsia="Arial" w:cs="Arial"/>
        </w:rPr>
        <w:t>5. Как устроена инфраструктура</w:t>
      </w:r>
    </w:p>
    <w:p>
      <w:r>
        <w:rPr>
          <w:rFonts w:ascii="Arial" w:hAnsi="Arial" w:eastAsia="Arial" w:cs="Arial"/>
        </w:rPr>
        <w:t>Компания не подключается к ГИС ЭПД напрямую. Рабочая цепочка выглядит так: компания → аккредитованный оператор ИС ЭПД → ГИС ЭПД → оператор другого участника → контрагент. «ЭПД Лайт» — один из конкретных вариантов такой ИС ЭПД: сервис Оператора ЦРПТ встроен в личный кабинет системы маркировки и аккредитован Минтрансом.</w:t>
      </w:r>
    </w:p>
    <w:p>
      <w:pPr>
        <w:pStyle w:val="ListBullet"/>
      </w:pPr>
      <w:r>
        <w:rPr>
          <w:rFonts w:ascii="Arial" w:hAnsi="Arial" w:eastAsia="Arial" w:cs="Arial"/>
        </w:rPr>
        <w:t>проверить, что оператор включён в актуальный реестр;</w:t>
      </w:r>
    </w:p>
    <w:p>
      <w:pPr>
        <w:pStyle w:val="ListBullet"/>
      </w:pPr>
      <w:r>
        <w:rPr>
          <w:rFonts w:ascii="Arial" w:hAnsi="Arial" w:eastAsia="Arial" w:cs="Arial"/>
        </w:rPr>
        <w:t>проверить поддержку именно необходимых форматов;</w:t>
      </w:r>
    </w:p>
    <w:p>
      <w:pPr>
        <w:pStyle w:val="ListBullet"/>
      </w:pPr>
      <w:r>
        <w:rPr>
          <w:rFonts w:ascii="Arial" w:hAnsi="Arial" w:eastAsia="Arial" w:cs="Arial"/>
        </w:rPr>
        <w:t>проверить роуминг с операторами ключевых контрагентов;</w:t>
      </w:r>
    </w:p>
    <w:p>
      <w:pPr>
        <w:pStyle w:val="ListBullet"/>
      </w:pPr>
      <w:r>
        <w:rPr>
          <w:rFonts w:ascii="Arial" w:hAnsi="Arial" w:eastAsia="Arial" w:cs="Arial"/>
        </w:rPr>
        <w:t>выбрать веб-кабинет, модуль 1С/ERP/TMS/WMS, API или мобильный сценарий;</w:t>
      </w:r>
    </w:p>
    <w:p>
      <w:pPr>
        <w:pStyle w:val="ListBullet"/>
      </w:pPr>
      <w:r>
        <w:rPr>
          <w:rFonts w:ascii="Arial" w:hAnsi="Arial" w:eastAsia="Arial" w:cs="Arial"/>
        </w:rPr>
        <w:t>проверить тестовый контур и поддержку на период запуска.</w:t>
      </w:r>
    </w:p>
    <w:p>
      <w:pPr>
        <w:pStyle w:val="Heading1"/>
      </w:pPr>
      <w:r>
        <w:rPr>
          <w:rFonts w:ascii="Arial" w:hAnsi="Arial" w:eastAsia="Arial" w:cs="Arial"/>
        </w:rPr>
        <w:t>6. Подписи и МЧД</w:t>
      </w:r>
    </w:p>
    <w:p>
      <w:r>
        <w:rPr>
          <w:rFonts w:ascii="Arial" w:hAnsi="Arial" w:eastAsia="Arial" w:cs="Arial"/>
        </w:rPr>
        <w:t>Руководитель или ИП используют КЭП. Если документы от имени организации подписывает сотрудник, ФНС указывает на КЭП физического лица и машиночитаемую доверенность. Для отдельных титулов действуют специальные варианты подписи; например, Минтранс допускает подписание второго титула ЭТрН водителем простой электронной подписью или НЭП «Госключ» при последующем подтверждении перевозчиком в установленном порядке.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Что определить</w:t>
            </w:r>
          </w:p>
        </w:tc>
        <w:tc>
          <w:tcPr>
            <w:tcW w:type="dxa" w:w="3969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Основной вопрос</w:t>
            </w:r>
          </w:p>
        </w:tc>
        <w:tc>
          <w:tcPr>
            <w:tcW w:type="dxa" w:w="328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Результат</w:t>
            </w:r>
          </w:p>
        </w:tc>
      </w:tr>
      <w:tr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Документ / титул</w:t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Кто подписывает?</w:t>
            </w:r>
          </w:p>
        </w:tc>
        <w:tc>
          <w:tcPr>
            <w:tcW w:type="dxa" w:w="328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Конкретная должность и сотрудник</w:t>
            </w:r>
          </w:p>
        </w:tc>
      </w:tr>
      <w:tr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Тип подписи</w:t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Какой тип допустим?</w:t>
            </w:r>
          </w:p>
        </w:tc>
        <w:tc>
          <w:tcPr>
            <w:tcW w:type="dxa" w:w="328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КЭП / НЭП / ПЭП по сценарию</w:t>
            </w:r>
          </w:p>
        </w:tc>
      </w:tr>
      <w:tr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Полномочия</w:t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Нужна ли МЧД?</w:t>
            </w:r>
          </w:p>
        </w:tc>
        <w:tc>
          <w:tcPr>
            <w:tcW w:type="dxa" w:w="328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МЧД оформлена и проверена</w:t>
            </w:r>
          </w:p>
        </w:tc>
      </w:tr>
      <w:tr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Резерв</w:t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Кто заменяет основного?</w:t>
            </w:r>
          </w:p>
        </w:tc>
        <w:tc>
          <w:tcPr>
            <w:tcW w:type="dxa" w:w="328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Второй сотрудник с доступом и полномочиями</w:t>
            </w:r>
          </w:p>
        </w:tc>
      </w:tr>
      <w:tr>
        <w:tc>
          <w:tcPr>
            <w:tcW w:type="dxa" w:w="226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Окно работы</w:t>
            </w:r>
          </w:p>
        </w:tc>
        <w:tc>
          <w:tcPr>
            <w:tcW w:type="dxa" w:w="3969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Когда приезжает груз?</w:t>
            </w:r>
          </w:p>
        </w:tc>
        <w:tc>
          <w:tcPr>
            <w:tcW w:type="dxa" w:w="328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Подписание доступно вечером/ночью/в выходные</w:t>
            </w:r>
          </w:p>
        </w:tc>
      </w:tr>
    </w:tbl>
    <w:p/>
    <w:p>
      <w:pPr>
        <w:pStyle w:val="Heading1"/>
      </w:pPr>
      <w:r>
        <w:rPr>
          <w:rFonts w:ascii="Arial" w:hAnsi="Arial" w:eastAsia="Arial" w:cs="Arial"/>
        </w:rPr>
        <w:t>7. Что проверить грузоотправителю</w:t>
      </w:r>
    </w:p>
    <w:p>
      <w:pPr>
        <w:pStyle w:val="ListBullet"/>
      </w:pPr>
      <w:r>
        <w:rPr>
          <w:rFonts w:ascii="Arial" w:hAnsi="Arial" w:eastAsia="Arial" w:cs="Arial"/>
        </w:rPr>
        <w:t>реквизиты сторон и договорную модель;</w:t>
      </w:r>
    </w:p>
    <w:p>
      <w:pPr>
        <w:pStyle w:val="ListBullet"/>
      </w:pPr>
      <w:r>
        <w:rPr>
          <w:rFonts w:ascii="Arial" w:hAnsi="Arial" w:eastAsia="Arial" w:cs="Arial"/>
        </w:rPr>
        <w:t>данные груза;</w:t>
      </w:r>
    </w:p>
    <w:p>
      <w:pPr>
        <w:pStyle w:val="ListBullet"/>
      </w:pPr>
      <w:r>
        <w:rPr>
          <w:rFonts w:ascii="Arial" w:hAnsi="Arial" w:eastAsia="Arial" w:cs="Arial"/>
        </w:rPr>
        <w:t>транспортное средство и водителя;</w:t>
      </w:r>
    </w:p>
    <w:p>
      <w:pPr>
        <w:pStyle w:val="ListBullet"/>
      </w:pPr>
      <w:r>
        <w:rPr>
          <w:rFonts w:ascii="Arial" w:hAnsi="Arial" w:eastAsia="Arial" w:cs="Arial"/>
        </w:rPr>
        <w:t>точки погрузки и выгрузки;</w:t>
      </w:r>
    </w:p>
    <w:p>
      <w:pPr>
        <w:pStyle w:val="ListBullet"/>
      </w:pPr>
      <w:r>
        <w:rPr>
          <w:rFonts w:ascii="Arial" w:hAnsi="Arial" w:eastAsia="Arial" w:cs="Arial"/>
        </w:rPr>
        <w:t>актуальность справочников в 1С/ERP/TMS/WMS;</w:t>
      </w:r>
    </w:p>
    <w:p>
      <w:pPr>
        <w:pStyle w:val="ListBullet"/>
      </w:pPr>
      <w:r>
        <w:rPr>
          <w:rFonts w:ascii="Arial" w:hAnsi="Arial" w:eastAsia="Arial" w:cs="Arial"/>
        </w:rPr>
        <w:t>правильного подписанта;</w:t>
      </w:r>
    </w:p>
    <w:p>
      <w:pPr>
        <w:pStyle w:val="ListBullet"/>
      </w:pPr>
      <w:r>
        <w:rPr>
          <w:rFonts w:ascii="Arial" w:hAnsi="Arial" w:eastAsia="Arial" w:cs="Arial"/>
        </w:rPr>
        <w:t>маршрут документа до перевозчика и грузополучателя.</w:t>
      </w:r>
    </w:p>
    <w:p>
      <w:pPr>
        <w:pStyle w:val="Heading1"/>
      </w:pPr>
      <w:r>
        <w:rPr>
          <w:rFonts w:ascii="Arial" w:hAnsi="Arial" w:eastAsia="Arial" w:cs="Arial"/>
        </w:rPr>
        <w:t>8. Что проверить перевозчику и водителю</w:t>
      </w:r>
    </w:p>
    <w:p>
      <w:pPr>
        <w:pStyle w:val="ListBullet"/>
      </w:pPr>
      <w:r>
        <w:rPr>
          <w:rFonts w:ascii="Arial" w:hAnsi="Arial" w:eastAsia="Arial" w:cs="Arial"/>
        </w:rPr>
        <w:t>получение и подписание нужного титула;</w:t>
      </w:r>
    </w:p>
    <w:p>
      <w:pPr>
        <w:pStyle w:val="ListBullet"/>
      </w:pPr>
      <w:r>
        <w:rPr>
          <w:rFonts w:ascii="Arial" w:hAnsi="Arial" w:eastAsia="Arial" w:cs="Arial"/>
        </w:rPr>
        <w:t>доступ водителя к документу;</w:t>
      </w:r>
    </w:p>
    <w:p>
      <w:pPr>
        <w:pStyle w:val="ListBullet"/>
      </w:pPr>
      <w:r>
        <w:rPr>
          <w:rFonts w:ascii="Arial" w:hAnsi="Arial" w:eastAsia="Arial" w:cs="Arial"/>
        </w:rPr>
        <w:t>получение и предъявление QR-кода / визуализации;</w:t>
      </w:r>
    </w:p>
    <w:p>
      <w:pPr>
        <w:pStyle w:val="ListBullet"/>
      </w:pPr>
      <w:r>
        <w:rPr>
          <w:rFonts w:ascii="Arial" w:hAnsi="Arial" w:eastAsia="Arial" w:cs="Arial"/>
        </w:rPr>
        <w:t>замену автомобиля;</w:t>
      </w:r>
    </w:p>
    <w:p>
      <w:pPr>
        <w:pStyle w:val="ListBullet"/>
      </w:pPr>
      <w:r>
        <w:rPr>
          <w:rFonts w:ascii="Arial" w:hAnsi="Arial" w:eastAsia="Arial" w:cs="Arial"/>
        </w:rPr>
        <w:t>замену водителя;</w:t>
      </w:r>
    </w:p>
    <w:p>
      <w:pPr>
        <w:pStyle w:val="ListBullet"/>
      </w:pPr>
      <w:r>
        <w:rPr>
          <w:rFonts w:ascii="Arial" w:hAnsi="Arial" w:eastAsia="Arial" w:cs="Arial"/>
        </w:rPr>
        <w:t>частичную выдачу и расхождения;</w:t>
      </w:r>
    </w:p>
    <w:p>
      <w:pPr>
        <w:pStyle w:val="ListBullet"/>
      </w:pPr>
      <w:r>
        <w:rPr>
          <w:rFonts w:ascii="Arial" w:hAnsi="Arial" w:eastAsia="Arial" w:cs="Arial"/>
        </w:rPr>
        <w:t>работу диспетчера и мобильного сценария;</w:t>
      </w:r>
    </w:p>
    <w:p>
      <w:pPr>
        <w:pStyle w:val="ListBullet"/>
      </w:pPr>
      <w:r>
        <w:rPr>
          <w:rFonts w:ascii="Arial" w:hAnsi="Arial" w:eastAsia="Arial" w:cs="Arial"/>
        </w:rPr>
        <w:t>завершение и закрытие перевозки.</w:t>
      </w:r>
    </w:p>
    <w:p>
      <w:r>
        <w:rPr>
          <w:rFonts w:ascii="Arial" w:hAnsi="Arial" w:eastAsia="Arial" w:cs="Arial"/>
        </w:rPr>
        <w:t>Минтранс указывает: после подписания Т1 грузоотправителем и Т2 перевозчиком в ГИС ЭПД формируется QR-код для подтверждения перевозки на дороге. Если транспортное средство меняется в пути, но перевозчик остаётся прежним, новая ЭТрН не требуется — изменение отражается в текущем документообороте и формируется обновлённый QR-код.</w:t>
      </w:r>
    </w:p>
    <w:p>
      <w:pPr>
        <w:pStyle w:val="Heading1"/>
      </w:pPr>
      <w:r>
        <w:rPr>
          <w:rFonts w:ascii="Arial" w:hAnsi="Arial" w:eastAsia="Arial" w:cs="Arial"/>
        </w:rPr>
        <w:t>9. Сбой связи — не повод импровизировать</w:t>
      </w:r>
    </w:p>
    <w:p>
      <w:r>
        <w:rPr>
          <w:rFonts w:ascii="Arial" w:hAnsi="Arial" w:eastAsia="Arial" w:cs="Arial"/>
        </w:rPr>
        <w:t>До запуска компания должна получить у оператора и закрепить внутри собственный порядок действий при сбое. Нужны ответственный, канал связи с оператором, инструкция водителю и контроль последующей синхронизации. Нельзя придумывать собственный «резервный бумажный режим», если он не основан на предусмотренном исключении.</w:t>
      </w:r>
    </w:p>
    <w:p>
      <w:pPr>
        <w:pStyle w:val="Heading1"/>
      </w:pPr>
      <w:r>
        <w:rPr>
          <w:rFonts w:ascii="Arial" w:hAnsi="Arial" w:eastAsia="Arial" w:cs="Arial"/>
        </w:rPr>
        <w:t>10. Что проверить сейчас, когда обязательный режим уже действует</w:t>
      </w:r>
    </w:p>
    <w:p>
      <w:pPr>
        <w:pStyle w:val="ListNumber"/>
      </w:pPr>
      <w:r>
        <w:rPr>
          <w:rFonts w:ascii="Arial" w:hAnsi="Arial" w:eastAsia="Arial" w:cs="Arial"/>
        </w:rPr>
        <w:t>Классифицировать все реальные схемы перевозок и роли компании.</w:t>
      </w:r>
    </w:p>
    <w:p>
      <w:pPr>
        <w:pStyle w:val="ListNumber"/>
      </w:pPr>
      <w:r>
        <w:rPr>
          <w:rFonts w:ascii="Arial" w:hAnsi="Arial" w:eastAsia="Arial" w:cs="Arial"/>
        </w:rPr>
        <w:t>Определить применимые документы и проверить бумажные исключения.</w:t>
      </w:r>
    </w:p>
    <w:p>
      <w:pPr>
        <w:pStyle w:val="ListNumber"/>
      </w:pPr>
      <w:r>
        <w:rPr>
          <w:rFonts w:ascii="Arial" w:hAnsi="Arial" w:eastAsia="Arial" w:cs="Arial"/>
        </w:rPr>
        <w:t>Сравнить текущего оператора с «ЭПД Лайт» и подтвердить нужные форматы, роли и роуминг.</w:t>
      </w:r>
    </w:p>
    <w:p>
      <w:pPr>
        <w:pStyle w:val="ListNumber"/>
      </w:pPr>
      <w:r>
        <w:rPr>
          <w:rFonts w:ascii="Arial" w:hAnsi="Arial" w:eastAsia="Arial" w:cs="Arial"/>
        </w:rPr>
        <w:t>Назначить основных и резервных подписантов, оформить необходимые МЧД.</w:t>
      </w:r>
    </w:p>
    <w:p>
      <w:pPr>
        <w:pStyle w:val="ListNumber"/>
      </w:pPr>
      <w:r>
        <w:rPr>
          <w:rFonts w:ascii="Arial" w:hAnsi="Arial" w:eastAsia="Arial" w:cs="Arial"/>
        </w:rPr>
        <w:t>Проверить ключевых контрагентов и роуминг.</w:t>
      </w:r>
    </w:p>
    <w:p>
      <w:pPr>
        <w:pStyle w:val="ListNumber"/>
      </w:pPr>
      <w:r>
        <w:rPr>
          <w:rFonts w:ascii="Arial" w:hAnsi="Arial" w:eastAsia="Arial" w:cs="Arial"/>
        </w:rPr>
        <w:t>Настроить рабочий способ: веб-кабинет, загрузку XML или нужную интеграцию; не считать заявленные будущие функции уже доступными.</w:t>
      </w:r>
    </w:p>
    <w:p>
      <w:pPr>
        <w:pStyle w:val="ListNumber"/>
      </w:pPr>
      <w:r>
        <w:rPr>
          <w:rFonts w:ascii="Arial" w:hAnsi="Arial" w:eastAsia="Arial" w:cs="Arial"/>
        </w:rPr>
        <w:t>Провести минимум одну реальную сквозную перевозку от создания документа до закрытия.</w:t>
      </w:r>
    </w:p>
    <w:p>
      <w:pPr>
        <w:pStyle w:val="ListNumber"/>
      </w:pPr>
      <w:r>
        <w:rPr>
          <w:rFonts w:ascii="Arial" w:hAnsi="Arial" w:eastAsia="Arial" w:cs="Arial"/>
        </w:rPr>
        <w:t>Отработать замену ТС/водителя, расхождение при приёмке и сбой связи.</w:t>
      </w:r>
    </w:p>
    <w:p>
      <w:pPr>
        <w:pStyle w:val="ListNumber"/>
      </w:pPr>
      <w:r>
        <w:rPr>
          <w:rFonts w:ascii="Arial" w:hAnsi="Arial" w:eastAsia="Arial" w:cs="Arial"/>
        </w:rPr>
        <w:t>Зафиксировать внутренний регламент и контакты первой линии поддержки.</w:t>
      </w:r>
    </w:p>
    <w:p>
      <w:pPr>
        <w:pStyle w:val="ListNumber"/>
      </w:pPr>
      <w:r>
        <w:rPr>
          <w:rFonts w:ascii="Arial" w:hAnsi="Arial" w:eastAsia="Arial" w:cs="Arial"/>
        </w:rPr>
        <w:t>Ежедневно разбирать инциденты первых недель обязательного режима и фиксировать повторяющиеся ошибки.</w:t>
      </w:r>
    </w:p>
    <w:p>
      <w:pPr>
        <w:pStyle w:val="Heading1"/>
      </w:pPr>
      <w:r>
        <w:rPr>
          <w:rFonts w:ascii="Arial" w:hAnsi="Arial" w:eastAsia="Arial" w:cs="Arial"/>
        </w:rPr>
        <w:t>11. Самые дорогие ошибки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381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Ошибка</w:t>
            </w:r>
          </w:p>
        </w:tc>
        <w:tc>
          <w:tcPr>
            <w:tcW w:type="dxa" w:w="3685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Почему опасно</w:t>
            </w:r>
          </w:p>
        </w:tc>
        <w:tc>
          <w:tcPr>
            <w:tcW w:type="dxa" w:w="3458"/>
            <w:shd w:fill="102238"/>
            <w:tcBorders>
              <w:top w:val="single" w:sz="5" w:color="D8D0C3"/>
              <w:left w:val="single" w:sz="5" w:color="D8D0C3"/>
              <w:bottom w:val="single" w:sz="5" w:color="D8D0C3"/>
              <w:right w:val="single" w:sz="5" w:color="D8D0C3"/>
              <w:insideH w:val="single" w:sz="5" w:color="D8D0C3"/>
              <w:insideV w:val="single" w:sz="5" w:color="D8D0C3"/>
            </w:tcBorders>
            <w:vAlign w:val="center"/>
          </w:tcPr>
          <w:p>
            <w:r>
              <w:rPr>
                <w:rFonts w:ascii="Arial" w:hAnsi="Arial" w:eastAsia="Arial" w:cs="Arial"/>
                <w:b/>
                <w:color w:val="FFFFFF"/>
                <w:sz w:val="18"/>
              </w:rPr>
              <w:t>Что делать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«Это задача бухгалтерии»</w:t>
            </w:r>
          </w:p>
        </w:tc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Документ рождается на складе и в рейсе</w:t>
            </w:r>
          </w:p>
        </w:tc>
        <w:tc>
          <w:tcPr>
            <w:tcW w:type="dxa" w:w="345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Включить логистику, склад, IT, приёмку, перевозчика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«Оператор подключён — мы готовы»</w:t>
            </w:r>
          </w:p>
        </w:tc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Не закрывает роли, МЧД, контрагентов и тесты</w:t>
            </w:r>
          </w:p>
        </w:tc>
        <w:tc>
          <w:tcPr>
            <w:tcW w:type="dxa" w:w="345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Проверять всю end-to-end цепочку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«У нас обычный ЭДО для УПД»</w:t>
            </w:r>
          </w:p>
        </w:tc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Это не подтверждает готовность ИС ЭПД</w:t>
            </w:r>
          </w:p>
        </w:tc>
        <w:tc>
          <w:tcPr>
            <w:tcW w:type="dxa" w:w="345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Проверять транспортные форматы и роуминг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«Если интернет упадёт — распечатаем»</w:t>
            </w:r>
          </w:p>
        </w:tc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Самодельное исключение может быть незаконным</w:t>
            </w:r>
          </w:p>
        </w:tc>
        <w:tc>
          <w:tcPr>
            <w:tcW w:type="dxa" w:w="345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  <w:shd w:fill="FAF8F3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Закрепить нормативный и операторский сценарий</w:t>
            </w:r>
          </w:p>
        </w:tc>
      </w:tr>
      <w:tr>
        <w:tc>
          <w:tcPr>
            <w:tcW w:type="dxa" w:w="2381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«Грузополучателю ничего не нужно»</w:t>
            </w:r>
          </w:p>
        </w:tc>
        <w:tc>
          <w:tcPr>
            <w:tcW w:type="dxa" w:w="3685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Приёмка может зависнуть без подписанта</w:t>
            </w:r>
          </w:p>
        </w:tc>
        <w:tc>
          <w:tcPr>
            <w:tcW w:type="dxa" w:w="3458"/>
            <w:tcBorders>
              <w:top w:val="single" w:sz="4" w:color="E1D9CF"/>
              <w:left w:val="single" w:sz="4" w:color="E1D9CF"/>
              <w:bottom w:val="single" w:sz="4" w:color="E1D9CF"/>
              <w:right w:val="single" w:sz="4" w:color="E1D9CF"/>
              <w:insideH w:val="single" w:sz="4" w:color="E1D9CF"/>
              <w:insideV w:val="single" w:sz="4" w:color="E1D9CF"/>
            </w:tcBorders>
            <w:vAlign w:val="center"/>
          </w:tcPr>
          <w:p>
            <w:r>
              <w:rPr>
                <w:rFonts w:ascii="Arial" w:hAnsi="Arial" w:eastAsia="Arial" w:cs="Arial"/>
                <w:color w:val="2B313A"/>
                <w:sz w:val="17"/>
              </w:rPr>
              <w:t>Назначить титул, доступ и резерв</w:t>
            </w:r>
          </w:p>
        </w:tc>
      </w:tr>
    </w:tbl>
    <w:p/>
    <w:p>
      <w:pPr>
        <w:pStyle w:val="Heading1"/>
      </w:pPr>
      <w:r>
        <w:rPr>
          <w:rFonts w:ascii="Arial" w:hAnsi="Arial" w:eastAsia="Arial" w:cs="Arial"/>
        </w:rPr>
        <w:t>Официальные источники</w:t>
      </w:r>
    </w:p>
    <w:p>
      <w:r>
        <w:rPr>
          <w:rFonts w:ascii="Arial" w:hAnsi="Arial" w:eastAsia="Arial" w:cs="Arial"/>
          <w:b/>
        </w:rPr>
        <w:t xml:space="preserve">Федеральный закон от 07.06.2025 № 140-ФЗ: </w:t>
      </w:r>
      <w:r>
        <w:rPr>
          <w:rFonts w:ascii="Arial" w:hAnsi="Arial" w:eastAsia="Arial" w:cs="Arial"/>
        </w:rPr>
        <w:t>https://publication.pravo.gov.ru/Document/View/0001202506070016</w:t>
      </w:r>
    </w:p>
    <w:p>
      <w:r>
        <w:rPr>
          <w:rFonts w:ascii="Arial" w:hAnsi="Arial" w:eastAsia="Arial" w:cs="Arial"/>
          <w:b/>
        </w:rPr>
        <w:t xml:space="preserve">ФНС России — обязательный транспортный ЭДО: </w:t>
      </w:r>
      <w:r>
        <w:rPr>
          <w:rFonts w:ascii="Arial" w:hAnsi="Arial" w:eastAsia="Arial" w:cs="Arial"/>
        </w:rPr>
        <w:t>https://www.nalog.gov.ru/rn77/related_activities/el_doc/el_bus_entities/edotransp/</w:t>
      </w:r>
    </w:p>
    <w:p>
      <w:r>
        <w:rPr>
          <w:rFonts w:ascii="Arial" w:hAnsi="Arial" w:eastAsia="Arial" w:cs="Arial"/>
          <w:b/>
        </w:rPr>
        <w:t xml:space="preserve">Минтранс России — ГИС ЭПД: </w:t>
      </w:r>
      <w:r>
        <w:rPr>
          <w:rFonts w:ascii="Arial" w:hAnsi="Arial" w:eastAsia="Arial" w:cs="Arial"/>
        </w:rPr>
        <w:t>https://mintrans.gov.ru/activities/376/</w:t>
      </w:r>
    </w:p>
    <w:p>
      <w:r>
        <w:rPr>
          <w:rFonts w:ascii="Arial" w:hAnsi="Arial" w:eastAsia="Arial" w:cs="Arial"/>
          <w:b/>
        </w:rPr>
        <w:t xml:space="preserve">Минтранс России — общие вопросы по переходу на ЭПД: </w:t>
      </w:r>
      <w:r>
        <w:rPr>
          <w:rFonts w:ascii="Arial" w:hAnsi="Arial" w:eastAsia="Arial" w:cs="Arial"/>
        </w:rPr>
        <w:t>https://mintrans.gov.ru/activities/376/453/454</w:t>
      </w:r>
    </w:p>
    <w:p>
      <w:r>
        <w:rPr>
          <w:rFonts w:ascii="Arial" w:hAnsi="Arial" w:eastAsia="Arial" w:cs="Arial"/>
          <w:b/>
        </w:rPr>
        <w:t xml:space="preserve">Минтранс России — автомобильные перевозки и ЭТрН: </w:t>
      </w:r>
      <w:r>
        <w:rPr>
          <w:rFonts w:ascii="Arial" w:hAnsi="Arial" w:eastAsia="Arial" w:cs="Arial"/>
        </w:rPr>
        <w:t>https://mintrans.gov.ru/activities/376/453/455</w:t>
      </w:r>
    </w:p>
    <w:p>
      <w:r>
        <w:rPr>
          <w:rFonts w:ascii="Arial" w:hAnsi="Arial" w:eastAsia="Arial" w:cs="Arial"/>
          <w:b/>
        </w:rPr>
        <w:t xml:space="preserve">ФНС России — операторы ИС ЭПД: </w:t>
      </w:r>
      <w:r>
        <w:rPr>
          <w:rFonts w:ascii="Arial" w:hAnsi="Arial" w:eastAsia="Arial" w:cs="Arial"/>
        </w:rPr>
        <w:t>https://www.nalog.gov.ru/rn77/oedo/oisepd/</w:t>
      </w:r>
    </w:p>
    <w:p>
      <w:r>
        <w:rPr>
          <w:rFonts w:ascii="Arial" w:hAnsi="Arial" w:eastAsia="Arial" w:cs="Arial"/>
          <w:b/>
        </w:rPr>
        <w:t xml:space="preserve">Минтранс России — вопросы подписания, QR и замены ТС: </w:t>
      </w:r>
      <w:r>
        <w:rPr>
          <w:rFonts w:ascii="Arial" w:hAnsi="Arial" w:eastAsia="Arial" w:cs="Arial"/>
        </w:rPr>
        <w:t>https://mintrans.gov.ru/press-center/news/12842</w:t>
      </w:r>
    </w:p>
    <w:p>
      <w:r>
        <w:rPr>
          <w:rFonts w:ascii="Arial" w:hAnsi="Arial" w:eastAsia="Arial" w:cs="Arial"/>
          <w:b/>
        </w:rPr>
        <w:t xml:space="preserve">Минтранс России — совещание по нестандартным сценариям: </w:t>
      </w:r>
      <w:r>
        <w:rPr>
          <w:rFonts w:ascii="Arial" w:hAnsi="Arial" w:eastAsia="Arial" w:cs="Arial"/>
        </w:rPr>
        <w:t>https://mintrans.gov.ru/press-center/news/12843</w:t>
      </w:r>
    </w:p>
    <w:p>
      <w:r>
        <w:rPr>
          <w:rFonts w:ascii="Arial" w:hAnsi="Arial" w:eastAsia="Arial" w:cs="Arial"/>
          <w:b/>
        </w:rPr>
        <w:t xml:space="preserve">Минтранс России — правила обмена и направления ЭПД: </w:t>
      </w:r>
      <w:r>
        <w:rPr>
          <w:rFonts w:ascii="Arial" w:hAnsi="Arial" w:eastAsia="Arial" w:cs="Arial"/>
        </w:rPr>
        <w:t>https://mintrans.gov.ru/press-center/news/12649</w:t>
      </w:r>
    </w:p>
    <w:p>
      <w:pPr/>
      <w:r>
        <w:rPr>
          <w:rFonts w:ascii="Arial" w:hAnsi="Arial" w:eastAsia="Arial" w:cs="Arial"/>
        </w:rPr>
        <w:t>ЦРПТ — запуск бесплатного сервиса «ЭПД Лайт»: https://www.crpt.ru/news/1/2309/</w:t>
      </w:r>
    </w:p>
    <w:p>
      <w:pPr/>
      <w:r>
        <w:rPr>
          <w:rFonts w:ascii="Arial" w:hAnsi="Arial" w:eastAsia="Arial" w:cs="Arial"/>
        </w:rPr>
        <w:t>«Честный знак» — руководство пользователя ЭПД «Лайт»: https://docs.crpt.ru/gismt/%D0%AD%D0%9F%D0%94_%D0%9B%D0%B0%D0%B9%D1%82/</w:t>
      </w:r>
    </w:p>
    <w:p>
      <w:r>
        <w:rPr>
          <w:rFonts w:ascii="Arial" w:hAnsi="Arial" w:eastAsia="Arial" w:cs="Arial"/>
        </w:rPr>
        <w:t>Перед применением конкретного исключения или формата проверьте действующую редакцию нормативного акта и актуальные разъяснения регуляторов. Материал носит информационный характер и не заменяет индивидуальную юридическую консультацию.</w:t>
      </w:r>
    </w:p>
    <w:sectPr w:rsidR="00FC693F" w:rsidRPr="0006063C" w:rsidSect="00034616"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 w:cs="Arial"/>
      <w:color w:val="2B31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Arial" w:cs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0223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1022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C99A4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Arial" w:cs="Arial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Arial" w:cs="Arial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Arial" w:hAnsi="Arial" w:eastAsia="Arial" w:cs="Arial"/>
    </w:rPr>
  </w:style>
  <w:style w:type="table" w:default="1" w:styleId="TableNormal">
    <w:name w:val="Normal Table"/>
    <w:uiPriority w:val="99"/>
    <w:semiHidden/>
    <w:unhideWhenUsed/>
    <w:rPr>
      <w:rFonts w:ascii="Arial" w:hAnsi="Arial" w:eastAsia="Arial"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ascii="Arial" w:hAnsi="Arial" w:eastAsia="Arial" w:cs="Arial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02238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ascii="Arial" w:hAnsi="Arial" w:eastAsia="Arial" w:cs="Arial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Arial" w:cs="Arial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hAnsi="Arial" w:eastAsia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Arial" w:cs="Arial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hAnsi="Arial" w:eastAsia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Arial" w:cs="Arial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Arial" w:cs="Arial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Arial" w:cs="Arial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Arial" w:cs="Arial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Arial" w:cs="Arial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Arial" w:cs="Arial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Arial" w:cs="Arial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Arial" w:cs="Arial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Arial" w:cs="Arial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Arial" w:cs="Arial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hAnsi="Arial" w:eastAsia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ascii="Arial" w:hAnsi="Arial" w:eastAsia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Arial" w:cs="Arial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hAnsi="Arial" w:eastAsia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hAnsi="Arial" w:eastAsia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hAnsi="Arial" w:eastAsia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hAnsi="Arial" w:eastAsia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hAnsi="Arial" w:eastAsia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hAnsi="Arial" w:eastAsia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hAnsi="Arial" w:eastAsia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eastAsia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hAnsi="Arial" w:eastAsia="Arial" w:cs="Arial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hAnsi="Arial" w:eastAsia="Arial" w:cs="Arial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hAnsi="Arial" w:eastAsia="Arial" w:cs="Arial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hAnsi="Arial" w:eastAsia="Arial" w:cs="Arial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