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C99A42"/>
          <w:sz w:val="18"/>
        </w:rPr>
        <w:t>БИЗНЕС ПОД МИКРОСКОПОМ</w:t>
      </w:r>
    </w:p>
    <w:p>
      <w:pPr>
        <w:pStyle w:val="Title"/>
      </w:pPr>
      <w:r>
        <w:t>ВкусВилл: как масштабировать сеть без классической франшизы</w:t>
      </w:r>
    </w:p>
    <w:p>
      <w:r>
        <w:rPr>
          <w:color w:val="475569"/>
          <w:sz w:val="22"/>
        </w:rPr>
        <w:t>Досье бизнес-модели компании: качество, поставщики, обратная связь, доставка, технологии и архитектура роста.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  <w:shd w:fill="102238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b/>
                <w:color w:val="FFFFFF"/>
              </w:rPr>
              <w:t>Статус</w:t>
            </w:r>
          </w:p>
        </w:tc>
        <w:tc>
          <w:tcPr>
            <w:tcW w:type="dxa" w:w="5083"/>
            <w:shd w:fill="F7F3EB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>Профессиональный разбор компании</w:t>
            </w:r>
          </w:p>
        </w:tc>
      </w:tr>
      <w:tr>
        <w:tc>
          <w:tcPr>
            <w:tcW w:type="dxa" w:w="5083"/>
            <w:shd w:fill="102238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b/>
                <w:color w:val="FFFFFF"/>
              </w:rPr>
              <w:t>Фактчек</w:t>
            </w:r>
          </w:p>
        </w:tc>
        <w:tc>
          <w:tcPr>
            <w:tcW w:type="dxa" w:w="5083"/>
            <w:shd w:fill="F7F3EB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>24 августа 2026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7F3EB"/>
            <w:tcMar>
              <w:top w:w="140" w:type="dxa"/>
              <w:start w:w="160" w:type="dxa"/>
              <w:bottom w:w="140" w:type="dxa"/>
              <w:end w:w="160" w:type="dxa"/>
            </w:tcMar>
          </w:tcPr>
          <w:p>
            <w:r>
              <w:rPr>
                <w:b/>
                <w:color w:val="102238"/>
              </w:rPr>
              <w:t>Ключевой вывод</w:t>
            </w:r>
            <w:r>
              <w:br/>
              <w:t>Сильная сторона «ВкусВилла» не в самом отказе от франшизы. Компания показывает более важный принцип: масштабировать имеет смысл только те процессы, которые можно повторять без постоянного ручного вмешательства владельца. Контроль критичных элементов клиентского обещания остаётся у сети, а партнёрство используется там, где ответственность можно разделить.</w:t>
            </w:r>
          </w:p>
        </w:tc>
      </w:tr>
    </w:tbl>
    <w:p/>
    <w:p>
      <w:pPr>
        <w:pStyle w:val="Heading1"/>
      </w:pPr>
      <w:r>
        <w:t>1. Как пользоваться комплектом</w:t>
      </w:r>
    </w:p>
    <w:p>
      <w:r>
        <w:t>Это досье объясняет механику компании. Оно не является инвестиционной рекомендацией и не предлагает «открыть ВкусВилл».</w:t>
      </w:r>
    </w:p>
    <w:p>
      <w:pPr>
        <w:pStyle w:val="ListNumber"/>
      </w:pPr>
      <w:r>
        <w:t>Прочитайте разделы 2–8 и отделите публичные факты компании от управленческих выводов.</w:t>
      </w:r>
    </w:p>
    <w:p>
      <w:pPr>
        <w:pStyle w:val="ListNumber"/>
      </w:pPr>
      <w:r>
        <w:t>Откройте benchmark-masshtabirovaniya-i-proverka-novoy-tochki-2026.xlsx и замените демонстрационные вводы фактическими данными своего бизнеса.</w:t>
      </w:r>
    </w:p>
    <w:p>
      <w:pPr>
        <w:pStyle w:val="ListNumber"/>
      </w:pPr>
      <w:r>
        <w:t>Заполните карту механизмов роста и определите, что можно копировать, что нужно тестировать, а что нельзя переносить без масштаба и инфраструктуры.</w:t>
      </w:r>
    </w:p>
    <w:p>
      <w:pPr>
        <w:pStyle w:val="ListNumber"/>
      </w:pPr>
      <w:r>
        <w:t>Пройдите toolkit: стандарты, поставщики, зависимость от владельца, клиентская обратная связь и эксперимент новой точки.</w:t>
      </w:r>
    </w:p>
    <w:p>
      <w:pPr>
        <w:pStyle w:val="ListNumber"/>
      </w:pPr>
      <w:r>
        <w:t>Принимайте решение о росте только после проверки экономики, cash-flow, процессов и управленческой мощности.</w:t>
      </w:r>
    </w:p>
    <w:p>
      <w:pPr>
        <w:pStyle w:val="Heading1"/>
      </w:pPr>
      <w:r>
        <w:t>2. Что подтверждено на 24 августа 2026 года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</w:trPr>
        <w:tc>
          <w:tcPr>
            <w:tcW w:type="dxa" w:w="3389"/>
            <w:shd w:fill="102238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b/>
                <w:color w:val="FFFFFF"/>
              </w:rPr>
              <w:t>Факт</w:t>
            </w:r>
          </w:p>
        </w:tc>
        <w:tc>
          <w:tcPr>
            <w:tcW w:type="dxa" w:w="3389"/>
            <w:shd w:fill="102238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b/>
                <w:color w:val="FFFFFF"/>
              </w:rPr>
              <w:t>Подтверждение</w:t>
            </w:r>
          </w:p>
        </w:tc>
        <w:tc>
          <w:tcPr>
            <w:tcW w:type="dxa" w:w="3389"/>
            <w:shd w:fill="102238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b/>
                <w:color w:val="FFFFFF"/>
              </w:rPr>
              <w:t>Как использовать</w:t>
            </w:r>
          </w:p>
        </w:tc>
      </w:tr>
      <w:tr>
        <w:tc>
          <w:tcPr>
            <w:tcW w:type="dxa" w:w="3389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Классической франшизы нет</w:t>
            </w:r>
          </w:p>
        </w:tc>
        <w:tc>
          <w:tcPr>
            <w:tcW w:type="dxa" w:w="3389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FAQ ВкусВилла от 13.05.2026: магазины и дарксторы компания открывает самостоятельно.</w:t>
            </w:r>
          </w:p>
        </w:tc>
        <w:tc>
          <w:tcPr>
            <w:tcW w:type="dxa" w:w="3389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Не трактовать собственную сеть как единственно правильную модель.</w:t>
            </w:r>
          </w:p>
        </w:tc>
      </w:tr>
      <w:tr>
        <w:tc>
          <w:tcPr>
            <w:tcW w:type="dxa" w:w="3389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Более 2 000 торговых точек</w:t>
            </w:r>
          </w:p>
        </w:tc>
        <w:tc>
          <w:tcPr>
            <w:tcW w:type="dxa" w:w="3389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FAQ от 29.05.2026; в показатель входят магазины, мини-форматы и склады.</w:t>
            </w:r>
          </w:p>
        </w:tc>
        <w:tc>
          <w:tcPr>
            <w:tcW w:type="dxa" w:w="3389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Считать масштаб компании большим, но не путать типы объектов.</w:t>
            </w:r>
          </w:p>
        </w:tc>
      </w:tr>
      <w:tr>
        <w:tc>
          <w:tcPr>
            <w:tcW w:type="dxa" w:w="3389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1 644 магазина, &gt;160 городов, 10,5 млн курьерских заказов в месяц</w:t>
            </w:r>
          </w:p>
        </w:tc>
        <w:tc>
          <w:tcPr>
            <w:tcW w:type="dxa" w:w="3389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Текущая партнёрская страница.</w:t>
            </w:r>
          </w:p>
        </w:tc>
        <w:tc>
          <w:tcPr>
            <w:tcW w:type="dxa" w:w="3389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Цифры имеют иной периметр и не должны механически складываться с FAQ.</w:t>
            </w:r>
          </w:p>
        </w:tc>
      </w:tr>
      <w:tr>
        <w:tc>
          <w:tcPr>
            <w:tcW w:type="dxa" w:w="3389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103 новые точки в 2025 году</w:t>
            </w:r>
          </w:p>
        </w:tc>
        <w:tc>
          <w:tcPr>
            <w:tcW w:type="dxa" w:w="3389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Официальная история компании.</w:t>
            </w:r>
          </w:p>
        </w:tc>
        <w:tc>
          <w:tcPr>
            <w:tcW w:type="dxa" w:w="3389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Подтверждает продолжение экспериментов с форматами.</w:t>
            </w:r>
          </w:p>
        </w:tc>
      </w:tr>
      <w:tr>
        <w:tc>
          <w:tcPr>
            <w:tcW w:type="dxa" w:w="3389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Более 1 000 поставщиков</w:t>
            </w:r>
          </w:p>
        </w:tc>
        <w:tc>
          <w:tcPr>
            <w:tcW w:type="dxa" w:w="3389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Текущая страница для производителей.</w:t>
            </w:r>
          </w:p>
        </w:tc>
        <w:tc>
          <w:tcPr>
            <w:tcW w:type="dxa" w:w="3389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Показывает масштаб внешней производственной экосистемы.</w:t>
            </w:r>
          </w:p>
        </w:tc>
      </w:tr>
      <w:tr>
        <w:tc>
          <w:tcPr>
            <w:tcW w:type="dxa" w:w="3389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АО «ВкусВилл»: 358,6 млрд ₽ выручки и 6,58 млрд ₽ чистой прибыли за 2025</w:t>
            </w:r>
          </w:p>
        </w:tc>
        <w:tc>
          <w:tcPr>
            <w:tcW w:type="dxa" w:w="3389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РСБУ, приведённая AK&amp;M.</w:t>
            </w:r>
          </w:p>
        </w:tc>
        <w:tc>
          <w:tcPr>
            <w:tcW w:type="dxa" w:w="3389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Не считать экономикой магазина или всей группы в любом периметре.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7F3EB"/>
            <w:tcMar>
              <w:top w:w="140" w:type="dxa"/>
              <w:start w:w="160" w:type="dxa"/>
              <w:bottom w:w="140" w:type="dxa"/>
              <w:end w:w="160" w:type="dxa"/>
            </w:tcMar>
          </w:tcPr>
          <w:p>
            <w:r>
              <w:rPr>
                <w:b/>
                <w:color w:val="102238"/>
              </w:rPr>
              <w:t>Почему числа точек различаются</w:t>
            </w:r>
            <w:r>
              <w:br/>
              <w:t>Официальные страницы используют разные даты и определения: торговые точки, магазины, мини-форматы, склады и партнёрский контур. Профессиональный разбор показывает расхождение, а не маскирует его одной цифрой.</w:t>
            </w:r>
          </w:p>
        </w:tc>
      </w:tr>
    </w:tbl>
    <w:p/>
    <w:p>
      <w:pPr>
        <w:pStyle w:val="Heading1"/>
      </w:pPr>
      <w:r>
        <w:t>3. Бизнес-модель: что на самом деле масштабируется</w:t>
      </w:r>
    </w:p>
    <w:p>
      <w:r>
        <w:t>На поверхности это продуктовый ритейл. Воспроизводимость сети строится вокруг нескольких взаимосвязанных контуров:</w:t>
      </w:r>
    </w:p>
    <w:p>
      <w:pPr>
        <w:pStyle w:val="ListBullet"/>
      </w:pPr>
      <w:r>
        <w:t>розничная точка и локальная доступность;</w:t>
      </w:r>
    </w:p>
    <w:p>
      <w:pPr>
        <w:pStyle w:val="ListBullet"/>
      </w:pPr>
      <w:r>
        <w:t>онлайн-заказ, сборка и доставка;</w:t>
      </w:r>
    </w:p>
    <w:p>
      <w:pPr>
        <w:pStyle w:val="ListBullet"/>
      </w:pPr>
      <w:r>
        <w:t>внешние производители и поставщики;</w:t>
      </w:r>
    </w:p>
    <w:p>
      <w:pPr>
        <w:pStyle w:val="ListBullet"/>
      </w:pPr>
      <w:r>
        <w:t>требования к продукту, качеству и срокам;</w:t>
      </w:r>
    </w:p>
    <w:p>
      <w:pPr>
        <w:pStyle w:val="ListBullet"/>
      </w:pPr>
      <w:r>
        <w:t>ассортимент и обновление продукта через данные покупателей;</w:t>
      </w:r>
    </w:p>
    <w:p>
      <w:pPr>
        <w:pStyle w:val="ListBullet"/>
      </w:pPr>
      <w:r>
        <w:t>цифровые инструменты, которые связывают наличие, заказ, оплату и обратную связь;</w:t>
      </w:r>
    </w:p>
    <w:p>
      <w:pPr>
        <w:pStyle w:val="ListBullet"/>
      </w:pPr>
      <w:r>
        <w:t>эксперименты с форматами и закрытие слабых гипотез.</w:t>
      </w:r>
    </w:p>
    <w:p>
      <w:r>
        <w:t>Масштабируется не вывеска. Масштабируется цикл: поставщик → контроль → ассортимент → точка/доставка → сигнал клиента → изменение → повторная проверка.</w:t>
      </w:r>
    </w:p>
    <w:p>
      <w:pPr>
        <w:pStyle w:val="Heading1"/>
      </w:pPr>
      <w:r>
        <w:t>4. Почему компания не продаёт классическую франшизу</w:t>
      </w:r>
    </w:p>
    <w:p>
      <w:r>
        <w:t>В актуальном FAQ компания прямо пишет, что сама открывает магазины и дарксторы. В отдельном материале о франшизе логика отказа связывается с клиентским доверием и контролем решений на точке.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</w:trPr>
        <w:tc>
          <w:tcPr>
            <w:tcW w:type="dxa" w:w="3389"/>
            <w:shd w:fill="102238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b/>
                <w:color w:val="FFFFFF"/>
              </w:rPr>
              <w:t>Причина</w:t>
            </w:r>
          </w:p>
        </w:tc>
        <w:tc>
          <w:tcPr>
            <w:tcW w:type="dxa" w:w="3389"/>
            <w:shd w:fill="102238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b/>
                <w:color w:val="FFFFFF"/>
              </w:rPr>
              <w:t>Операционный смысл</w:t>
            </w:r>
          </w:p>
        </w:tc>
        <w:tc>
          <w:tcPr>
            <w:tcW w:type="dxa" w:w="3389"/>
            <w:shd w:fill="102238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b/>
                <w:color w:val="FFFFFF"/>
              </w:rPr>
              <w:t>Риск при передаче независимому владельцу</w:t>
            </w:r>
          </w:p>
        </w:tc>
      </w:tr>
      <w:tr>
        <w:tc>
          <w:tcPr>
            <w:tcW w:type="dxa" w:w="3389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Короткие сроки годности</w:t>
            </w:r>
          </w:p>
        </w:tc>
        <w:tc>
          <w:tcPr>
            <w:tcW w:type="dxa" w:w="3389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Часть ассортимента требует частых поставок небольшими партиями и контроля хранения.</w:t>
            </w:r>
          </w:p>
        </w:tc>
        <w:tc>
          <w:tcPr>
            <w:tcW w:type="dxa" w:w="3389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Ошибка в заказе, температуре или ротации быстро превращается в списание и жалобу.</w:t>
            </w:r>
          </w:p>
        </w:tc>
      </w:tr>
      <w:tr>
        <w:tc>
          <w:tcPr>
            <w:tcW w:type="dxa" w:w="3389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Качество и безопасность</w:t>
            </w:r>
          </w:p>
        </w:tc>
        <w:tc>
          <w:tcPr>
            <w:tcW w:type="dxa" w:w="3389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Контроль охватывает поставщика, аудит производства, лаборатории и входную проверку.</w:t>
            </w:r>
          </w:p>
        </w:tc>
        <w:tc>
          <w:tcPr>
            <w:tcW w:type="dxa" w:w="3389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Локальная экономия может конфликтовать со стандартом бренда.</w:t>
            </w:r>
          </w:p>
        </w:tc>
      </w:tr>
      <w:tr>
        <w:tc>
          <w:tcPr>
            <w:tcW w:type="dxa" w:w="3389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Работа с жалобой</w:t>
            </w:r>
          </w:p>
        </w:tc>
        <w:tc>
          <w:tcPr>
            <w:tcW w:type="dxa" w:w="3389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Обратная связь используется как вход в изменение товара и процесса.</w:t>
            </w:r>
          </w:p>
        </w:tc>
        <w:tc>
          <w:tcPr>
            <w:tcW w:type="dxa" w:w="3389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Интерес локального владельца может отличаться от долгосрочного интереса бренда.</w:t>
            </w:r>
          </w:p>
        </w:tc>
      </w:tr>
      <w:tr>
        <w:tc>
          <w:tcPr>
            <w:tcW w:type="dxa" w:w="3389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Данные и ассортимент</w:t>
            </w:r>
          </w:p>
        </w:tc>
        <w:tc>
          <w:tcPr>
            <w:tcW w:type="dxa" w:w="3389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Решения зависят от общей информационной системы.</w:t>
            </w:r>
          </w:p>
        </w:tc>
        <w:tc>
          <w:tcPr>
            <w:tcW w:type="dxa" w:w="3389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Фрагментация данных замедляет изменения.</w:t>
            </w:r>
          </w:p>
        </w:tc>
      </w:tr>
    </w:tbl>
    <w:p/>
    <w:p>
      <w:r>
        <w:t>Из этого не следует, что франшиза хуже. Следует другое: если клиентское обещание зависит от сотен ежедневных микрорешений, сначала нужно доказать, что эти решения можно стандартизировать и контролировать.</w:t>
      </w:r>
    </w:p>
    <w:p>
      <w:pPr>
        <w:pStyle w:val="Heading1"/>
      </w:pPr>
      <w:r>
        <w:t>5. Партнёры вместо передачи магазина</w:t>
      </w:r>
    </w:p>
    <w:p>
      <w:r>
        <w:t>Отказ от классической франшизы не означает вертикальную интеграцию всего бизнеса. Сеть работает с большим числом внешних производителей и развивает партнёрские каналы.</w:t>
      </w:r>
    </w:p>
    <w:p>
      <w:pPr>
        <w:pStyle w:val="ListBullet"/>
      </w:pPr>
      <w:r>
        <w:t>производство можно передать поставщику при сохранении требований и контроля качества;</w:t>
      </w:r>
    </w:p>
    <w:p>
      <w:pPr>
        <w:pStyle w:val="ListBullet"/>
      </w:pPr>
      <w:r>
        <w:t>часть логистических и сервисных функций может выполняться партнёрами;</w:t>
      </w:r>
    </w:p>
    <w:p>
      <w:pPr>
        <w:pStyle w:val="ListBullet"/>
      </w:pPr>
      <w:r>
        <w:t>B2B-продажи дают доступ к ассортименту без права управлять магазином под брендом;</w:t>
      </w:r>
    </w:p>
    <w:p>
      <w:pPr>
        <w:pStyle w:val="ListBullet"/>
      </w:pPr>
      <w:r>
        <w:t>технологические задачи могут решаться специализированными командами и подрядчиками.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7F3EB"/>
            <w:tcMar>
              <w:top w:w="140" w:type="dxa"/>
              <w:start w:w="160" w:type="dxa"/>
              <w:bottom w:w="140" w:type="dxa"/>
              <w:end w:w="160" w:type="dxa"/>
            </w:tcMar>
          </w:tcPr>
          <w:p>
            <w:r>
              <w:rPr>
                <w:b/>
                <w:color w:val="102238"/>
              </w:rPr>
              <w:t>Урок для малого бизнеса</w:t>
            </w:r>
            <w:r>
              <w:br/>
              <w:t>Архитектура роста не ограничивается выбором «всё самим» или «продать франшизу». Можно оставить ядро клиентского опыта под собственным контролем, а неключевые функции передать партнёрам.</w:t>
            </w:r>
          </w:p>
        </w:tc>
      </w:tr>
    </w:tbl>
    <w:p/>
    <w:p>
      <w:pPr>
        <w:pStyle w:val="Heading1"/>
      </w:pPr>
      <w:r>
        <w:t>6. Поставщики и качество — скрытая инфраструктура роста</w:t>
      </w:r>
    </w:p>
    <w:p>
      <w:r>
        <w:t>Текущая страница для производителей говорит о более чем 1 000 поставщиках. Это делает отбор, резервирование и контроль поставщика частью бизнес-модели, а не закупочной формальностью.</w:t>
      </w:r>
    </w:p>
    <w:p>
      <w:r>
        <w:t>В FAQ о качестве компания описывает многоступенчатый контур: проверка поставщиков, аудиты производств, лабораторные исследования, входной контроль партий и использование клиентских отзывов для доработки продукта.</w:t>
      </w:r>
    </w:p>
    <w:p>
      <w:pPr>
        <w:pStyle w:val="ListBullet"/>
      </w:pPr>
      <w:r>
        <w:t>Новый поставщик должен проходить проверку до массового роста объёма.</w:t>
      </w:r>
    </w:p>
    <w:p>
      <w:pPr>
        <w:pStyle w:val="ListBullet"/>
      </w:pPr>
      <w:r>
        <w:t>Критичная категория не должна зависеть от одного недокументированного источника.</w:t>
      </w:r>
    </w:p>
    <w:p>
      <w:pPr>
        <w:pStyle w:val="ListBullet"/>
      </w:pPr>
      <w:r>
        <w:t>Качество нужно считать в OPEX: проверки, рекламации, переделки, лаборатории, аудит.</w:t>
      </w:r>
    </w:p>
    <w:p>
      <w:pPr>
        <w:pStyle w:val="ListBullet"/>
      </w:pPr>
      <w:r>
        <w:t>Чем выше скорость роста, тем важнее способность контроля расти не медленнее продаж.</w:t>
      </w:r>
    </w:p>
    <w:p>
      <w:pPr>
        <w:pStyle w:val="Heading1"/>
      </w:pPr>
      <w:r>
        <w:t>7. Обратная связь как управленческий цикл</w:t>
      </w:r>
    </w:p>
    <w:p>
      <w:r>
        <w:t>В публичных материалах компания связывает отзывы покупателей с доработкой товара. Ценность не в количестве отзывов, а в замкнутом цикле.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</w:trPr>
        <w:tc>
          <w:tcPr>
            <w:tcW w:type="dxa" w:w="3389"/>
            <w:shd w:fill="102238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b/>
                <w:color w:val="FFFFFF"/>
              </w:rPr>
              <w:t>Этап</w:t>
            </w:r>
          </w:p>
        </w:tc>
        <w:tc>
          <w:tcPr>
            <w:tcW w:type="dxa" w:w="3389"/>
            <w:shd w:fill="102238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b/>
                <w:color w:val="FFFFFF"/>
              </w:rPr>
              <w:t>Что должно происходить</w:t>
            </w:r>
          </w:p>
        </w:tc>
        <w:tc>
          <w:tcPr>
            <w:tcW w:type="dxa" w:w="3389"/>
            <w:shd w:fill="102238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b/>
                <w:color w:val="FFFFFF"/>
              </w:rPr>
              <w:t>Что считать</w:t>
            </w:r>
          </w:p>
        </w:tc>
      </w:tr>
      <w:tr>
        <w:tc>
          <w:tcPr>
            <w:tcW w:type="dxa" w:w="3389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Сигнал</w:t>
            </w:r>
          </w:p>
        </w:tc>
        <w:tc>
          <w:tcPr>
            <w:tcW w:type="dxa" w:w="3389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Отзыв, жалоба, возврат, оценка, потеря заказа.</w:t>
            </w:r>
          </w:p>
        </w:tc>
        <w:tc>
          <w:tcPr>
            <w:tcW w:type="dxa" w:w="3389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Количество, повторяемость, категория.</w:t>
            </w:r>
          </w:p>
        </w:tc>
      </w:tr>
      <w:tr>
        <w:tc>
          <w:tcPr>
            <w:tcW w:type="dxa" w:w="3389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Ответственный</w:t>
            </w:r>
          </w:p>
        </w:tc>
        <w:tc>
          <w:tcPr>
            <w:tcW w:type="dxa" w:w="3389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У сигнала есть владелец и срок решения.</w:t>
            </w:r>
          </w:p>
        </w:tc>
        <w:tc>
          <w:tcPr>
            <w:tcW w:type="dxa" w:w="3389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Время до назначения ответственного.</w:t>
            </w:r>
          </w:p>
        </w:tc>
      </w:tr>
      <w:tr>
        <w:tc>
          <w:tcPr>
            <w:tcW w:type="dxa" w:w="3389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Решение</w:t>
            </w:r>
          </w:p>
        </w:tc>
        <w:tc>
          <w:tcPr>
            <w:tcW w:type="dxa" w:w="3389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Меняется продукт, поставщик, процесс или стандарт.</w:t>
            </w:r>
          </w:p>
        </w:tc>
        <w:tc>
          <w:tcPr>
            <w:tcW w:type="dxa" w:w="3389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Доля сигналов, превратившихся в действие.</w:t>
            </w:r>
          </w:p>
        </w:tc>
      </w:tr>
      <w:tr>
        <w:tc>
          <w:tcPr>
            <w:tcW w:type="dxa" w:w="3389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Проверка</w:t>
            </w:r>
          </w:p>
        </w:tc>
        <w:tc>
          <w:tcPr>
            <w:tcW w:type="dxa" w:w="3389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После изменения измеряется результат.</w:t>
            </w:r>
          </w:p>
        </w:tc>
        <w:tc>
          <w:tcPr>
            <w:tcW w:type="dxa" w:w="3389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Повторная жалоба, возврат, оценка, продажи.</w:t>
            </w:r>
          </w:p>
        </w:tc>
      </w:tr>
    </w:tbl>
    <w:p/>
    <w:p>
      <w:r>
        <w:t>Если отзывы только читают и отвечают клиенту, это сервис. Если они меняют решение и результат потом перепроверяется — это управленческая система.</w:t>
      </w:r>
    </w:p>
    <w:p>
      <w:pPr>
        <w:pStyle w:val="Heading1"/>
      </w:pPr>
      <w:r>
        <w:t>8. Онлайн и офлайн как единая сеть</w:t>
      </w:r>
    </w:p>
    <w:p>
      <w:r>
        <w:t>Текущая партнёрская страница сообщает о 10,5 млн курьерских заказов в месяц. Для анализа это важнее как признак масштаба омниканальной инфраструктуры, чем как число само по себе.</w:t>
      </w:r>
    </w:p>
    <w:p>
      <w:pPr>
        <w:pStyle w:val="ListBullet"/>
      </w:pPr>
      <w:r>
        <w:t>магазин может быть одновременно торговой точкой, местом сборки, элементом локальной логистики и носителем бренда;</w:t>
      </w:r>
    </w:p>
    <w:p>
      <w:pPr>
        <w:pStyle w:val="ListBullet"/>
      </w:pPr>
      <w:r>
        <w:t>даркстор и обычная точка решают разные задачи и не должны сравниваться только по выручке кассы;</w:t>
      </w:r>
    </w:p>
    <w:p>
      <w:pPr>
        <w:pStyle w:val="ListBullet"/>
      </w:pPr>
      <w:r>
        <w:t>при масштабировании нужно считать не только P&amp;L помещения, но и вклад точки в доставку и клиентский путь;</w:t>
      </w:r>
    </w:p>
    <w:p>
      <w:pPr>
        <w:pStyle w:val="ListBullet"/>
      </w:pPr>
      <w:r>
        <w:t>закрытие одной локации не обязательно означает отказ от города: формат может быть заменён на другой.</w:t>
      </w:r>
    </w:p>
    <w:p>
      <w:pPr>
        <w:pStyle w:val="Heading1"/>
      </w:pPr>
      <w:r>
        <w:t>9. Технологии: не причина роста, а усилитель процесса</w:t>
      </w:r>
    </w:p>
    <w:p>
      <w:r>
        <w:t>В истории компании за 2025 год отмечена интеграция IT-компаний группы «Автомакон» и развитие «ТехВилла». Для малого бизнеса смысл не в попытке повторить размер IT-команды, а в очередности автоматизации.</w:t>
      </w:r>
    </w:p>
    <w:p>
      <w:pPr>
        <w:pStyle w:val="ListNumber"/>
      </w:pPr>
      <w:r>
        <w:t>Сначала описать процесс.</w:t>
      </w:r>
    </w:p>
    <w:p>
      <w:pPr>
        <w:pStyle w:val="ListNumber"/>
      </w:pPr>
      <w:r>
        <w:t>Определить точку потери денег, времени или качества.</w:t>
      </w:r>
    </w:p>
    <w:p>
      <w:pPr>
        <w:pStyle w:val="ListNumber"/>
      </w:pPr>
      <w:r>
        <w:t>Назначить метрику до внедрения.</w:t>
      </w:r>
    </w:p>
    <w:p>
      <w:pPr>
        <w:pStyle w:val="ListNumber"/>
      </w:pPr>
      <w:r>
        <w:t>Автоматизировать только понятный участок.</w:t>
      </w:r>
    </w:p>
    <w:p>
      <w:pPr>
        <w:pStyle w:val="ListNumber"/>
      </w:pPr>
      <w:r>
        <w:t>Проверить эффект и только затем масштабировать решение.</w:t>
      </w:r>
    </w:p>
    <w:p>
      <w:pPr>
        <w:pStyle w:val="Heading1"/>
      </w:pPr>
      <w:r>
        <w:t>10. Финансовая оптика: большой оборот не равен большому запасу на ошибку</w:t>
      </w:r>
    </w:p>
    <w:p>
      <w:r>
        <w:t>По РСБУ АО «ВкусВилл» за 2025 год выручка составила 358,6 млрд ₽, чистая прибыль — 6,58 млрд ₽. Простое отношение чистой прибыли к выручке — около 1,8%.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7F3EB"/>
            <w:tcMar>
              <w:top w:w="140" w:type="dxa"/>
              <w:start w:w="160" w:type="dxa"/>
              <w:bottom w:w="140" w:type="dxa"/>
              <w:end w:w="160" w:type="dxa"/>
            </w:tcMar>
          </w:tcPr>
          <w:p>
            <w:r>
              <w:rPr>
                <w:b/>
                <w:color w:val="102238"/>
              </w:rPr>
              <w:t>Ограничение показателя</w:t>
            </w:r>
            <w:r>
              <w:br/>
              <w:t>1,8% — это не EBITDA-маржа, не маржа отдельного магазина и не показатель всей группы во всех возможных периметрах. Он полезен как напоминание: большой оборот не гарантирует большого запаса на операционную ошибку.</w:t>
            </w:r>
          </w:p>
        </w:tc>
      </w:tr>
    </w:tbl>
    <w:p/>
    <w:p>
      <w:r>
        <w:t>Поэтому Excel комплекта не использует «показатели ВкусВилла» как нормы. Он тестирует независимую точку на своих вводах и отдельно проверяет WEAK, STRESS, cash-flow и управленческую мощность.</w:t>
      </w:r>
    </w:p>
    <w:p>
      <w:pPr>
        <w:pStyle w:val="Heading1"/>
      </w:pPr>
      <w:r>
        <w:t>11. Рост через эксперименты</w:t>
      </w:r>
    </w:p>
    <w:p>
      <w:r>
        <w:t>В 2025 году компания открыла 103 новые точки и развивала новые форматы. Для предпринимателя важна способность считать каждую новую точку проверяемой гипотезой.</w:t>
      </w:r>
    </w:p>
    <w:p>
      <w:pPr>
        <w:pStyle w:val="ListBullet"/>
      </w:pPr>
      <w:r>
        <w:t>до открытия задаётся цель и срок теста;</w:t>
      </w:r>
    </w:p>
    <w:p>
      <w:pPr>
        <w:pStyle w:val="ListBullet"/>
      </w:pPr>
      <w:r>
        <w:t>фиксируется лимит допустимого убытка;</w:t>
      </w:r>
    </w:p>
    <w:p>
      <w:pPr>
        <w:pStyle w:val="ListBullet"/>
      </w:pPr>
      <w:r>
        <w:t>определяются причины закрытия или переформатирования;</w:t>
      </w:r>
    </w:p>
    <w:p>
      <w:pPr>
        <w:pStyle w:val="ListBullet"/>
      </w:pPr>
      <w:r>
        <w:t>результат сравнивается не только с выручкой, но и со списаниями, качеством, временем команды и cash-flow;</w:t>
      </w:r>
    </w:p>
    <w:p>
      <w:pPr>
        <w:pStyle w:val="ListBullet"/>
      </w:pPr>
      <w:r>
        <w:t>решение принимается по фактам, а не по уже вложенным деньгам.</w:t>
      </w:r>
    </w:p>
    <w:p>
      <w:pPr>
        <w:pStyle w:val="Heading1"/>
      </w:pPr>
      <w:r>
        <w:t>12. Уязвимости модели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</w:trPr>
        <w:tc>
          <w:tcPr>
            <w:tcW w:type="dxa" w:w="3389"/>
            <w:shd w:fill="102238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b/>
                <w:color w:val="FFFFFF"/>
              </w:rPr>
              <w:t>Риск</w:t>
            </w:r>
          </w:p>
        </w:tc>
        <w:tc>
          <w:tcPr>
            <w:tcW w:type="dxa" w:w="3389"/>
            <w:shd w:fill="102238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b/>
                <w:color w:val="FFFFFF"/>
              </w:rPr>
              <w:t>Почему возникает</w:t>
            </w:r>
          </w:p>
        </w:tc>
        <w:tc>
          <w:tcPr>
            <w:tcW w:type="dxa" w:w="3389"/>
            <w:shd w:fill="102238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b/>
                <w:color w:val="FFFFFF"/>
              </w:rPr>
              <w:t>Что отслеживать</w:t>
            </w:r>
          </w:p>
        </w:tc>
      </w:tr>
      <w:tr>
        <w:tc>
          <w:tcPr>
            <w:tcW w:type="dxa" w:w="3389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Списания</w:t>
            </w:r>
          </w:p>
        </w:tc>
        <w:tc>
          <w:tcPr>
            <w:tcW w:type="dxa" w:w="3389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Свежий ассортимент и короткие сроки хранения.</w:t>
            </w:r>
          </w:p>
        </w:tc>
        <w:tc>
          <w:tcPr>
            <w:tcW w:type="dxa" w:w="3389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Списания % выручки, прогноз спроса, ротация.</w:t>
            </w:r>
          </w:p>
        </w:tc>
      </w:tr>
      <w:tr>
        <w:tc>
          <w:tcPr>
            <w:tcW w:type="dxa" w:w="3389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Поставщики</w:t>
            </w:r>
          </w:p>
        </w:tc>
        <w:tc>
          <w:tcPr>
            <w:tcW w:type="dxa" w:w="3389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Рост объёма может опережать мощность партнёров.</w:t>
            </w:r>
          </w:p>
        </w:tc>
        <w:tc>
          <w:tcPr>
            <w:tcW w:type="dxa" w:w="3389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Резерв, SLA, аудит, рекламации.</w:t>
            </w:r>
          </w:p>
        </w:tc>
      </w:tr>
      <w:tr>
        <w:tc>
          <w:tcPr>
            <w:tcW w:type="dxa" w:w="3389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Качество</w:t>
            </w:r>
          </w:p>
        </w:tc>
        <w:tc>
          <w:tcPr>
            <w:tcW w:type="dxa" w:w="3389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Ошибка в одном узле быстро масштабируется.</w:t>
            </w:r>
          </w:p>
        </w:tc>
        <w:tc>
          <w:tcPr>
            <w:tcW w:type="dxa" w:w="3389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Жалобы, блокировки партий, повторные дефекты.</w:t>
            </w:r>
          </w:p>
        </w:tc>
      </w:tr>
      <w:tr>
        <w:tc>
          <w:tcPr>
            <w:tcW w:type="dxa" w:w="3389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Доставка</w:t>
            </w:r>
          </w:p>
        </w:tc>
        <w:tc>
          <w:tcPr>
            <w:tcW w:type="dxa" w:w="3389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Скорость сервиса может ухудшить экономику заказа.</w:t>
            </w:r>
          </w:p>
        </w:tc>
        <w:tc>
          <w:tcPr>
            <w:tcW w:type="dxa" w:w="3389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Стоимость сборки/доставки, SLA, плотность заказов.</w:t>
            </w:r>
          </w:p>
        </w:tc>
      </w:tr>
      <w:tr>
        <w:tc>
          <w:tcPr>
            <w:tcW w:type="dxa" w:w="3389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Децентрализация</w:t>
            </w:r>
          </w:p>
        </w:tc>
        <w:tc>
          <w:tcPr>
            <w:tcW w:type="dxa" w:w="3389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Самостоятельность без данных превращается в расхождение стандартов.</w:t>
            </w:r>
          </w:p>
        </w:tc>
        <w:tc>
          <w:tcPr>
            <w:tcW w:type="dxa" w:w="3389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Ответственность, доступ к данным, границы решений.</w:t>
            </w:r>
          </w:p>
        </w:tc>
      </w:tr>
      <w:tr>
        <w:tc>
          <w:tcPr>
            <w:tcW w:type="dxa" w:w="3389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Капитал</w:t>
            </w:r>
          </w:p>
        </w:tc>
        <w:tc>
          <w:tcPr>
            <w:tcW w:type="dxa" w:w="3389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Собственная сеть требует финансирования открытий и резерва.</w:t>
            </w:r>
          </w:p>
        </w:tc>
        <w:tc>
          <w:tcPr>
            <w:tcW w:type="dxa" w:w="3389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CAPEX, cash-flow, запас ликвидности.</w:t>
            </w:r>
          </w:p>
        </w:tc>
      </w:tr>
    </w:tbl>
    <w:p/>
    <w:p>
      <w:pPr>
        <w:pStyle w:val="Heading1"/>
      </w:pPr>
      <w:r>
        <w:t>13. Что можно и нельзя копировать</w:t>
      </w:r>
    </w:p>
    <w:p>
      <w:pPr>
        <w:pStyle w:val="ListBullet"/>
      </w:pPr>
      <w:r>
        <w:t>Можно копировать: цикл обратной связи, gate новой точки, стандартизацию критичных процессов, supplier scorecard, измерение зависимости от владельца.</w:t>
      </w:r>
    </w:p>
    <w:p>
      <w:pPr>
        <w:pStyle w:val="ListBullet"/>
      </w:pPr>
      <w:r>
        <w:t>Нужно тестировать: собственную сеть вместо франшизы, частую доставку, расширенный контроль качества, децентрализацию решений.</w:t>
      </w:r>
    </w:p>
    <w:p>
      <w:pPr>
        <w:pStyle w:val="ListBullet"/>
      </w:pPr>
      <w:r>
        <w:t>Нельзя копировать напрямую: масштаб закупки, узнаваемость бренда, плотность логистики, IT-инфраструктуру и переговорную силу большой сети.</w:t>
      </w:r>
    </w:p>
    <w:p>
      <w:pPr>
        <w:pStyle w:val="Heading1"/>
      </w:pPr>
      <w:r>
        <w:t>14. KPI перед следующей точкой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</w:trPr>
        <w:tc>
          <w:tcPr>
            <w:tcW w:type="dxa" w:w="3389"/>
            <w:shd w:fill="102238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b/>
                <w:color w:val="FFFFFF"/>
              </w:rPr>
              <w:t>Блок</w:t>
            </w:r>
          </w:p>
        </w:tc>
        <w:tc>
          <w:tcPr>
            <w:tcW w:type="dxa" w:w="3389"/>
            <w:shd w:fill="102238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b/>
                <w:color w:val="FFFFFF"/>
              </w:rPr>
              <w:t>Минимальный вопрос</w:t>
            </w:r>
          </w:p>
        </w:tc>
        <w:tc>
          <w:tcPr>
            <w:tcW w:type="dxa" w:w="3389"/>
            <w:shd w:fill="102238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b/>
                <w:color w:val="FFFFFF"/>
              </w:rPr>
              <w:t>Пример метрики</w:t>
            </w:r>
          </w:p>
        </w:tc>
      </w:tr>
      <w:tr>
        <w:tc>
          <w:tcPr>
            <w:tcW w:type="dxa" w:w="3389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Экономика</w:t>
            </w:r>
          </w:p>
        </w:tc>
        <w:tc>
          <w:tcPr>
            <w:tcW w:type="dxa" w:w="3389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Зрелая точка зарабатывает после оплаты труда владельца?</w:t>
            </w:r>
          </w:p>
        </w:tc>
        <w:tc>
          <w:tcPr>
            <w:tcW w:type="dxa" w:w="3389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Операционная маржа, contribution, break-even.</w:t>
            </w:r>
          </w:p>
        </w:tc>
      </w:tr>
      <w:tr>
        <w:tc>
          <w:tcPr>
            <w:tcW w:type="dxa" w:w="3389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Деньги</w:t>
            </w:r>
          </w:p>
        </w:tc>
        <w:tc>
          <w:tcPr>
            <w:tcW w:type="dxa" w:w="3389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Есть ли резерв на разгон новой точки?</w:t>
            </w:r>
          </w:p>
        </w:tc>
        <w:tc>
          <w:tcPr>
            <w:tcW w:type="dxa" w:w="3389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Минимальный cash balance, runway.</w:t>
            </w:r>
          </w:p>
        </w:tc>
      </w:tr>
      <w:tr>
        <w:tc>
          <w:tcPr>
            <w:tcW w:type="dxa" w:w="3389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Процессы</w:t>
            </w:r>
          </w:p>
        </w:tc>
        <w:tc>
          <w:tcPr>
            <w:tcW w:type="dxa" w:w="3389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Можно ли выполнить операцию без владельца?</w:t>
            </w:r>
          </w:p>
        </w:tc>
        <w:tc>
          <w:tcPr>
            <w:tcW w:type="dxa" w:w="3389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Доля процессов со SOP и заменой.</w:t>
            </w:r>
          </w:p>
        </w:tc>
      </w:tr>
      <w:tr>
        <w:tc>
          <w:tcPr>
            <w:tcW w:type="dxa" w:w="3389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Качество</w:t>
            </w:r>
          </w:p>
        </w:tc>
        <w:tc>
          <w:tcPr>
            <w:tcW w:type="dxa" w:w="3389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Может ли контроль расти вместе с продажами?</w:t>
            </w:r>
          </w:p>
        </w:tc>
        <w:tc>
          <w:tcPr>
            <w:tcW w:type="dxa" w:w="3389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Доля проверенных поставщиков, рекламации.</w:t>
            </w:r>
          </w:p>
        </w:tc>
      </w:tr>
      <w:tr>
        <w:tc>
          <w:tcPr>
            <w:tcW w:type="dxa" w:w="3389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Клиент</w:t>
            </w:r>
          </w:p>
        </w:tc>
        <w:tc>
          <w:tcPr>
            <w:tcW w:type="dxa" w:w="3389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Есть ли замкнутый feedback loop?</w:t>
            </w:r>
          </w:p>
        </w:tc>
        <w:tc>
          <w:tcPr>
            <w:tcW w:type="dxa" w:w="3389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Доля сигналов закрыта и перепроверена.</w:t>
            </w:r>
          </w:p>
        </w:tc>
      </w:tr>
      <w:tr>
        <w:tc>
          <w:tcPr>
            <w:tcW w:type="dxa" w:w="3389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Мощность</w:t>
            </w:r>
          </w:p>
        </w:tc>
        <w:tc>
          <w:tcPr>
            <w:tcW w:type="dxa" w:w="3389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Хватит ли управленческих часов?</w:t>
            </w:r>
          </w:p>
        </w:tc>
        <w:tc>
          <w:tcPr>
            <w:tcW w:type="dxa" w:w="3389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Загрузка владельца/руководителя.</w:t>
            </w:r>
          </w:p>
        </w:tc>
      </w:tr>
      <w:tr>
        <w:tc>
          <w:tcPr>
            <w:tcW w:type="dxa" w:w="3389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Эксперимент</w:t>
            </w:r>
          </w:p>
        </w:tc>
        <w:tc>
          <w:tcPr>
            <w:tcW w:type="dxa" w:w="3389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Есть ли stop-condition?</w:t>
            </w:r>
          </w:p>
        </w:tc>
        <w:tc>
          <w:tcPr>
            <w:tcW w:type="dxa" w:w="3389"/>
            <w:tcMar>
              <w:top w:w="100" w:type="dxa"/>
              <w:start w:w="100" w:type="dxa"/>
              <w:bottom w:w="100" w:type="dxa"/>
              <w:end w:w="100" w:type="dxa"/>
            </w:tcMar>
            <w:vAlign w:val="top"/>
          </w:tcPr>
          <w:p>
            <w:r>
              <w:t>Срок теста, лимит убытка, gate.</w:t>
            </w:r>
          </w:p>
        </w:tc>
      </w:tr>
    </w:tbl>
    <w:p/>
    <w:p>
      <w:pPr>
        <w:pStyle w:val="Heading1"/>
      </w:pPr>
      <w:r>
        <w:t>15. Итоговый вердикт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DDEFE4"/>
            <w:tcMar>
              <w:top w:w="140" w:type="dxa"/>
              <w:start w:w="160" w:type="dxa"/>
              <w:bottom w:w="140" w:type="dxa"/>
              <w:end w:w="160" w:type="dxa"/>
            </w:tcMar>
          </w:tcPr>
          <w:p>
            <w:r>
              <w:rPr>
                <w:b/>
                <w:color w:val="102238"/>
              </w:rPr>
              <w:t>TEST / ADAPT</w:t>
            </w:r>
            <w:r>
              <w:br/>
              <w:t>«ВкусВилл» — сильный кейс масштабирования без классической франшизы, но не универсальный шаблон. Применимый урок — дисциплина воспроизводимости: экономика → стандарт → качество → данные → обратная связь → эксперимент → архитектура роста. Для малого бизнеса рост допустим только после того, как базовая точка выдерживает слабый сценарий и перестаёт зависеть от постоянного ручного управления владельца.</w:t>
            </w:r>
          </w:p>
        </w:tc>
      </w:tr>
    </w:tbl>
    <w:p/>
    <w:p>
      <w:pPr>
        <w:pStyle w:val="Heading1"/>
      </w:pPr>
      <w:r>
        <w:t>Источники</w:t>
      </w:r>
    </w:p>
    <w:p>
      <w:r>
        <w:rPr>
          <w:b/>
        </w:rPr>
        <w:t xml:space="preserve">История компании и итоги 2025 года: </w:t>
      </w:r>
      <w:r>
        <w:t>https://vkusvill.ru/history/</w:t>
      </w:r>
    </w:p>
    <w:p>
      <w:r>
        <w:rPr>
          <w:b/>
        </w:rPr>
        <w:t xml:space="preserve">FAQ: как открыть ВкусВилл в своём городе: </w:t>
      </w:r>
      <w:r>
        <w:t>https://vkusvill.ru/faq/kak-otkryt-vkusvill-v-svoyem-gorode/</w:t>
      </w:r>
    </w:p>
    <w:p>
      <w:r>
        <w:rPr>
          <w:b/>
        </w:rPr>
        <w:t xml:space="preserve">FAQ: сколько торговых точек в России: </w:t>
      </w:r>
      <w:r>
        <w:t>https://vkusvill.ru/faq/skolko-magazinov-vkusvill-v-rossii/</w:t>
      </w:r>
    </w:p>
    <w:p>
      <w:r>
        <w:rPr>
          <w:b/>
        </w:rPr>
        <w:t xml:space="preserve">Партнёрская программа: </w:t>
      </w:r>
      <w:r>
        <w:t>https://partners.vkusvill.ru/</w:t>
      </w:r>
    </w:p>
    <w:p>
      <w:r>
        <w:rPr>
          <w:b/>
        </w:rPr>
        <w:t xml:space="preserve">Информация для поставщиков: </w:t>
      </w:r>
      <w:r>
        <w:t>https://vkusvill.ru/proizvoditelyam/</w:t>
      </w:r>
    </w:p>
    <w:p>
      <w:r>
        <w:rPr>
          <w:b/>
        </w:rPr>
        <w:t xml:space="preserve">Как контролируется качество: </w:t>
      </w:r>
      <w:r>
        <w:t>https://vkusvill.ru/faq/kak-vkusvill-kontroliruet-kachestvo-svoikh-produktov/</w:t>
      </w:r>
    </w:p>
    <w:p>
      <w:r>
        <w:rPr>
          <w:b/>
        </w:rPr>
        <w:t xml:space="preserve">15 фактов о контроле качества: </w:t>
      </w:r>
      <w:r>
        <w:t>https://vkusvill.ru/media/journal/kachestvo-vkusvill.html</w:t>
      </w:r>
    </w:p>
    <w:p>
      <w:r>
        <w:rPr>
          <w:b/>
        </w:rPr>
        <w:t xml:space="preserve">Франшиза ВкусВилла: частые вопросы: </w:t>
      </w:r>
      <w:r>
        <w:t>https://vkusvill.ru/media/journal/franshiza-vkusvilla-chastye-voprosy.html</w:t>
      </w:r>
    </w:p>
    <w:p>
      <w:r>
        <w:rPr>
          <w:b/>
        </w:rPr>
        <w:t xml:space="preserve">Короткие сроки годности: </w:t>
      </w:r>
      <w:r>
        <w:t>https://vkusvill.ru/faq/pochemu-v-vkusville-takoy-korotkiy-srok-godnosti-produktov-/</w:t>
      </w:r>
    </w:p>
    <w:p>
      <w:r>
        <w:rPr>
          <w:b/>
        </w:rPr>
        <w:t xml:space="preserve">AK&amp;M: РСБУ АО «ВкусВилл» за 2025 год: </w:t>
      </w:r>
      <w:r>
        <w:t>https://www.akm.ru/news/chistaya_pribyl_vkusvilla_po_rsbu_za_2025_god_vyrosla_na_8_1/</w:t>
      </w:r>
    </w:p>
    <w:p>
      <w:r>
        <w:t>Оговорка: материал информационно-аналитический. Публичные заявления о внутренних процессах и качестве приводятся как позиция компании. Финансовые показатели РСБУ относятся к АО «ВкусВилл» и не должны автоматически трактоваться как экономика одной торговой точки или всей группы компаний.</w:t>
      </w:r>
    </w:p>
    <w:sectPr w:rsidR="00FC693F" w:rsidRPr="0006063C" w:rsidSect="00034616">
      <w:footerReference w:type="default" r:id="rId9"/>
      <w:pgSz w:w="12240" w:h="15840"/>
      <w:pgMar w:top="936" w:right="1037" w:bottom="936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Бизнес под микроскопом · аналитический материал</w:t>
    </w:r>
  </w:p>
  <w:p>
    <w:pPr>
      <w:jc w:val="right"/>
    </w:pPr>
    <w: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02238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02238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02238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