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C96B3B"/>
          <w:sz w:val="18"/>
        </w:rPr>
        <w:t>БИЗНЕС-МОДЕЛИ  •  07.09.2026</w:t>
      </w:r>
    </w:p>
    <w:p>
      <w:pPr>
        <w:pStyle w:val="Title"/>
      </w:pPr>
      <w:r>
        <w:t>White label: досье бизнес-модели</w:t>
      </w:r>
    </w:p>
    <w:p>
      <w:pPr>
        <w:pStyle w:val="Lead"/>
      </w:pPr>
      <w:r>
        <w:t>Механика цепочки ценности, экономика, контроль качества, оборотный капитал, риски и переносимость модели в малый бизнес.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54"/>
      </w:tblGrid>
      <w:tr>
        <w:tc>
          <w:tcPr>
            <w:tcW w:type="dxa" w:w="10454"/>
            <w:shd w:fill="F3EFE8"/>
            <w:tcMar>
              <w:top w:w="125" w:type="dxa"/>
              <w:start w:w="125" w:type="dxa"/>
              <w:bottom w:w="125" w:type="dxa"/>
              <w:end w:w="125" w:type="dxa"/>
            </w:tcMar>
          </w:tcPr>
          <w:p>
            <w:r>
              <w:rPr>
                <w:rFonts w:ascii="Arial" w:hAnsi="Arial"/>
                <w:b/>
                <w:color w:val="0E1E35"/>
                <w:sz w:val="21"/>
              </w:rPr>
              <w:t>Предмет модели</w:t>
              <w:br/>
            </w:r>
            <w:r>
              <w:rPr>
                <w:rFonts w:ascii="Arial" w:hAnsi="Arial"/>
                <w:color w:val="1D2735"/>
                <w:sz w:val="19"/>
              </w:rPr>
              <w:t>Бренд заказывает готовый или минимально адаптированный продукт у стороннего производителя и продаёт его под собственной маркой. В строгом white label базовый продукт может быть доступен нескольким брендам; при глубокой адаптации модель сдвигается в private label/контрактное производство.</w:t>
            </w:r>
          </w:p>
        </w:tc>
      </w:tr>
    </w:tbl>
    <w:p>
      <w:pPr>
        <w:spacing w:after="0"/>
      </w:pPr>
    </w:p>
    <w:p>
      <w:pPr>
        <w:pStyle w:val="Heading1"/>
      </w:pPr>
      <w:r>
        <w:t>1. Карта участников и ответственности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85"/>
        <w:gridCol w:w="3485"/>
        <w:gridCol w:w="3485"/>
      </w:tblGrid>
      <w:tr>
        <w:tc>
          <w:tcPr>
            <w:tcW w:type="dxa" w:w="3485"/>
            <w:shd w:fill="0E1E35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Участник</w:t>
            </w:r>
          </w:p>
        </w:tc>
        <w:tc>
          <w:tcPr>
            <w:tcW w:type="dxa" w:w="3485"/>
            <w:shd w:fill="0E1E35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Что контролирует</w:t>
            </w:r>
          </w:p>
        </w:tc>
        <w:tc>
          <w:tcPr>
            <w:tcW w:type="dxa" w:w="3485"/>
            <w:shd w:fill="0E1E35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Главный риск для бренда</w:t>
            </w:r>
          </w:p>
        </w:tc>
      </w:tr>
      <w:tr>
        <w:tc>
          <w:tcPr>
            <w:tcW w:type="dxa" w:w="3485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6"/>
              </w:rPr>
              <w:t>Владелец бренда/продавец</w:t>
            </w:r>
          </w:p>
        </w:tc>
        <w:tc>
          <w:tcPr>
            <w:tcW w:type="dxa" w:w="3485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6"/>
              </w:rPr>
              <w:t>Позиционирование, ассортимент, цена, канал, клиент, претензии</w:t>
            </w:r>
          </w:p>
        </w:tc>
        <w:tc>
          <w:tcPr>
            <w:tcW w:type="dxa" w:w="3485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6"/>
              </w:rPr>
              <w:t>Слабый спрос и кассовый разрыв</w:t>
            </w:r>
          </w:p>
        </w:tc>
      </w:tr>
      <w:tr>
        <w:tc>
          <w:tcPr>
            <w:tcW w:type="dxa" w:w="3485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8F5F0"/>
          </w:tcPr>
          <w:p>
            <w:r>
              <w:rPr>
                <w:rFonts w:ascii="Arial" w:hAnsi="Arial"/>
                <w:color w:val="1D2735"/>
                <w:sz w:val="16"/>
              </w:rPr>
              <w:t>Контрактный производитель</w:t>
            </w:r>
          </w:p>
        </w:tc>
        <w:tc>
          <w:tcPr>
            <w:tcW w:type="dxa" w:w="3485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8F5F0"/>
          </w:tcPr>
          <w:p>
            <w:r>
              <w:rPr>
                <w:rFonts w:ascii="Arial" w:hAnsi="Arial"/>
                <w:color w:val="1D2735"/>
                <w:sz w:val="16"/>
              </w:rPr>
              <w:t>Процесс, сырьё, линия, партия, часть документов</w:t>
            </w:r>
          </w:p>
        </w:tc>
        <w:tc>
          <w:tcPr>
            <w:tcW w:type="dxa" w:w="3485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8F5F0"/>
          </w:tcPr>
          <w:p>
            <w:r>
              <w:rPr>
                <w:rFonts w:ascii="Arial" w:hAnsi="Arial"/>
                <w:color w:val="1D2735"/>
                <w:sz w:val="16"/>
              </w:rPr>
              <w:t>Изменения без согласования, брак, срыв срока</w:t>
            </w:r>
          </w:p>
        </w:tc>
      </w:tr>
      <w:tr>
        <w:tc>
          <w:tcPr>
            <w:tcW w:type="dxa" w:w="3485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6"/>
              </w:rPr>
              <w:t>Поставщик упаковки</w:t>
            </w:r>
          </w:p>
        </w:tc>
        <w:tc>
          <w:tcPr>
            <w:tcW w:type="dxa" w:w="3485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6"/>
              </w:rPr>
              <w:t>Тара, крышка, короб, печать</w:t>
            </w:r>
          </w:p>
        </w:tc>
        <w:tc>
          <w:tcPr>
            <w:tcW w:type="dxa" w:w="3485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6"/>
              </w:rPr>
              <w:t>MOQ упаковки выше MOQ продукта</w:t>
            </w:r>
          </w:p>
        </w:tc>
      </w:tr>
      <w:tr>
        <w:tc>
          <w:tcPr>
            <w:tcW w:type="dxa" w:w="3485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8F5F0"/>
          </w:tcPr>
          <w:p>
            <w:r>
              <w:rPr>
                <w:rFonts w:ascii="Arial" w:hAnsi="Arial"/>
                <w:color w:val="1D2735"/>
                <w:sz w:val="16"/>
              </w:rPr>
              <w:t>Орган оценки/лаборатория</w:t>
            </w:r>
          </w:p>
        </w:tc>
        <w:tc>
          <w:tcPr>
            <w:tcW w:type="dxa" w:w="3485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8F5F0"/>
          </w:tcPr>
          <w:p>
            <w:r>
              <w:rPr>
                <w:rFonts w:ascii="Arial" w:hAnsi="Arial"/>
                <w:color w:val="1D2735"/>
                <w:sz w:val="16"/>
              </w:rPr>
              <w:t>Испытания и документы в своей компетенции</w:t>
            </w:r>
          </w:p>
        </w:tc>
        <w:tc>
          <w:tcPr>
            <w:tcW w:type="dxa" w:w="3485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8F5F0"/>
          </w:tcPr>
          <w:p>
            <w:r>
              <w:rPr>
                <w:rFonts w:ascii="Arial" w:hAnsi="Arial"/>
                <w:color w:val="1D2735"/>
                <w:sz w:val="16"/>
              </w:rPr>
              <w:t>Неправильная схема соответствия</w:t>
            </w:r>
          </w:p>
        </w:tc>
      </w:tr>
      <w:tr>
        <w:tc>
          <w:tcPr>
            <w:tcW w:type="dxa" w:w="3485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6"/>
              </w:rPr>
              <w:t>Маркировка/ИТ</w:t>
            </w:r>
          </w:p>
        </w:tc>
        <w:tc>
          <w:tcPr>
            <w:tcW w:type="dxa" w:w="3485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6"/>
              </w:rPr>
              <w:t>Коды и передача сведений</w:t>
            </w:r>
          </w:p>
        </w:tc>
        <w:tc>
          <w:tcPr>
            <w:tcW w:type="dxa" w:w="3485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6"/>
              </w:rPr>
              <w:t>Товар нельзя корректно ввести в оборот</w:t>
            </w:r>
          </w:p>
        </w:tc>
      </w:tr>
      <w:tr>
        <w:tc>
          <w:tcPr>
            <w:tcW w:type="dxa" w:w="3485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8F5F0"/>
          </w:tcPr>
          <w:p>
            <w:r>
              <w:rPr>
                <w:rFonts w:ascii="Arial" w:hAnsi="Arial"/>
                <w:color w:val="1D2735"/>
                <w:sz w:val="16"/>
              </w:rPr>
              <w:t>Маркетплейс/ритейл/DTC</w:t>
            </w:r>
          </w:p>
        </w:tc>
        <w:tc>
          <w:tcPr>
            <w:tcW w:type="dxa" w:w="3485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8F5F0"/>
          </w:tcPr>
          <w:p>
            <w:r>
              <w:rPr>
                <w:rFonts w:ascii="Arial" w:hAnsi="Arial"/>
                <w:color w:val="1D2735"/>
                <w:sz w:val="16"/>
              </w:rPr>
              <w:t>Доступ к покупателю</w:t>
            </w:r>
          </w:p>
        </w:tc>
        <w:tc>
          <w:tcPr>
            <w:tcW w:type="dxa" w:w="3485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8F5F0"/>
          </w:tcPr>
          <w:p>
            <w:r>
              <w:rPr>
                <w:rFonts w:ascii="Arial" w:hAnsi="Arial"/>
                <w:color w:val="1D2735"/>
                <w:sz w:val="16"/>
              </w:rPr>
              <w:t>Комиссии, скидочная зависимость, задержка выплат</w:t>
            </w:r>
          </w:p>
        </w:tc>
      </w:tr>
    </w:tbl>
    <w:p>
      <w:pPr>
        <w:spacing w:after="0"/>
      </w:pPr>
    </w:p>
    <w:p>
      <w:pPr>
        <w:pStyle w:val="Heading1"/>
      </w:pPr>
      <w:r>
        <w:t>2. Механизм прибыли</w:t>
      </w:r>
    </w:p>
    <w:p>
      <w:r>
        <w:t>Прибыль — не разница «цена фабрики → цена на полке». Между ними находятся упаковка, соответствие, маркировка, логистика, канал, фулфилмент, реклама, возвраты, налог, списания и стоимость финансирования запаса.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54"/>
      </w:tblGrid>
      <w:tr>
        <w:tc>
          <w:tcPr>
            <w:tcW w:type="dxa" w:w="10454"/>
            <w:shd w:fill="F3EFE8"/>
            <w:tcMar>
              <w:top w:w="125" w:type="dxa"/>
              <w:start w:w="125" w:type="dxa"/>
              <w:bottom w:w="125" w:type="dxa"/>
              <w:end w:w="125" w:type="dxa"/>
            </w:tcMar>
          </w:tcPr>
          <w:p>
            <w:r>
              <w:rPr>
                <w:rFonts w:ascii="Arial" w:hAnsi="Arial"/>
                <w:b/>
                <w:color w:val="0E1E35"/>
                <w:sz w:val="21"/>
              </w:rPr>
              <w:t>Формула</w:t>
              <w:br/>
            </w:r>
            <w:r>
              <w:rPr>
                <w:rFonts w:ascii="Arial" w:hAnsi="Arial"/>
                <w:color w:val="1D2735"/>
                <w:sz w:val="19"/>
              </w:rPr>
              <w:t>Вклад единицы = цена − производство − упаковка − соответствие/маркировка − входящая логистика − комиссия − фулфилмент − реклама − возвраты − налог. Break-even = постоянные расходы / вклад единицы.</w:t>
            </w:r>
          </w:p>
        </w:tc>
      </w:tr>
    </w:tbl>
    <w:p>
      <w:pPr>
        <w:spacing w:after="0"/>
      </w:pPr>
    </w:p>
    <w:p>
      <w:pPr>
        <w:pStyle w:val="Heading1"/>
      </w:pPr>
      <w:r>
        <w:t>3. Защищаемость модели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85"/>
        <w:gridCol w:w="3485"/>
        <w:gridCol w:w="3485"/>
      </w:tblGrid>
      <w:tr>
        <w:tc>
          <w:tcPr>
            <w:tcW w:type="dxa" w:w="3485"/>
            <w:shd w:fill="0E1E35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Механизм</w:t>
            </w:r>
          </w:p>
        </w:tc>
        <w:tc>
          <w:tcPr>
            <w:tcW w:type="dxa" w:w="3485"/>
            <w:shd w:fill="0E1E35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Слабый вариант</w:t>
            </w:r>
          </w:p>
        </w:tc>
        <w:tc>
          <w:tcPr>
            <w:tcW w:type="dxa" w:w="3485"/>
            <w:shd w:fill="0E1E35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Сильный вариант</w:t>
            </w:r>
          </w:p>
        </w:tc>
      </w:tr>
      <w:tr>
        <w:tc>
          <w:tcPr>
            <w:tcW w:type="dxa" w:w="3485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6"/>
              </w:rPr>
              <w:t>Продукт</w:t>
            </w:r>
          </w:p>
        </w:tc>
        <w:tc>
          <w:tcPr>
            <w:tcW w:type="dxa" w:w="3485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6"/>
              </w:rPr>
              <w:t>Тот же SKU, что у всех</w:t>
            </w:r>
          </w:p>
        </w:tc>
        <w:tc>
          <w:tcPr>
            <w:tcW w:type="dxa" w:w="3485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6"/>
              </w:rPr>
              <w:t>Проверенный базовый SKU + узкий сценарий использования</w:t>
            </w:r>
          </w:p>
        </w:tc>
      </w:tr>
      <w:tr>
        <w:tc>
          <w:tcPr>
            <w:tcW w:type="dxa" w:w="3485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8F5F0"/>
          </w:tcPr>
          <w:p>
            <w:r>
              <w:rPr>
                <w:rFonts w:ascii="Arial" w:hAnsi="Arial"/>
                <w:color w:val="1D2735"/>
                <w:sz w:val="16"/>
              </w:rPr>
              <w:t>Бренд</w:t>
            </w:r>
          </w:p>
        </w:tc>
        <w:tc>
          <w:tcPr>
            <w:tcW w:type="dxa" w:w="3485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8F5F0"/>
          </w:tcPr>
          <w:p>
            <w:r>
              <w:rPr>
                <w:rFonts w:ascii="Arial" w:hAnsi="Arial"/>
                <w:color w:val="1D2735"/>
                <w:sz w:val="16"/>
              </w:rPr>
              <w:t>Логотип и цвет</w:t>
            </w:r>
          </w:p>
        </w:tc>
        <w:tc>
          <w:tcPr>
            <w:tcW w:type="dxa" w:w="3485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8F5F0"/>
          </w:tcPr>
          <w:p>
            <w:r>
              <w:rPr>
                <w:rFonts w:ascii="Arial" w:hAnsi="Arial"/>
                <w:color w:val="1D2735"/>
                <w:sz w:val="16"/>
              </w:rPr>
              <w:t>Понятное обещание конкретной аудитории</w:t>
            </w:r>
          </w:p>
        </w:tc>
      </w:tr>
      <w:tr>
        <w:tc>
          <w:tcPr>
            <w:tcW w:type="dxa" w:w="3485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6"/>
              </w:rPr>
              <w:t>Дистрибуция</w:t>
            </w:r>
          </w:p>
        </w:tc>
        <w:tc>
          <w:tcPr>
            <w:tcW w:type="dxa" w:w="3485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6"/>
              </w:rPr>
              <w:t>Один маркетплейс</w:t>
            </w:r>
          </w:p>
        </w:tc>
        <w:tc>
          <w:tcPr>
            <w:tcW w:type="dxa" w:w="3485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6"/>
              </w:rPr>
              <w:t>Несколько каналов + собственная база</w:t>
            </w:r>
          </w:p>
        </w:tc>
      </w:tr>
      <w:tr>
        <w:tc>
          <w:tcPr>
            <w:tcW w:type="dxa" w:w="3485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8F5F0"/>
          </w:tcPr>
          <w:p>
            <w:r>
              <w:rPr>
                <w:rFonts w:ascii="Arial" w:hAnsi="Arial"/>
                <w:color w:val="1D2735"/>
                <w:sz w:val="16"/>
              </w:rPr>
              <w:t>Контент</w:t>
            </w:r>
          </w:p>
        </w:tc>
        <w:tc>
          <w:tcPr>
            <w:tcW w:type="dxa" w:w="3485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8F5F0"/>
          </w:tcPr>
          <w:p>
            <w:r>
              <w:rPr>
                <w:rFonts w:ascii="Arial" w:hAnsi="Arial"/>
                <w:color w:val="1D2735"/>
                <w:sz w:val="16"/>
              </w:rPr>
              <w:t>Карточка товара</w:t>
            </w:r>
          </w:p>
        </w:tc>
        <w:tc>
          <w:tcPr>
            <w:tcW w:type="dxa" w:w="3485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8F5F0"/>
          </w:tcPr>
          <w:p>
            <w:r>
              <w:rPr>
                <w:rFonts w:ascii="Arial" w:hAnsi="Arial"/>
                <w:color w:val="1D2735"/>
                <w:sz w:val="16"/>
              </w:rPr>
              <w:t>Инструкции, UGC, FAQ, экспертный контент</w:t>
            </w:r>
          </w:p>
        </w:tc>
      </w:tr>
      <w:tr>
        <w:tc>
          <w:tcPr>
            <w:tcW w:type="dxa" w:w="3485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6"/>
              </w:rPr>
              <w:t>Сервис</w:t>
            </w:r>
          </w:p>
        </w:tc>
        <w:tc>
          <w:tcPr>
            <w:tcW w:type="dxa" w:w="3485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6"/>
              </w:rPr>
              <w:t>Ответ на отзыв</w:t>
            </w:r>
          </w:p>
        </w:tc>
        <w:tc>
          <w:tcPr>
            <w:tcW w:type="dxa" w:w="3485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6"/>
              </w:rPr>
              <w:t>Поддержка, замена, комплект, обучение</w:t>
            </w:r>
          </w:p>
        </w:tc>
      </w:tr>
      <w:tr>
        <w:tc>
          <w:tcPr>
            <w:tcW w:type="dxa" w:w="3485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8F5F0"/>
          </w:tcPr>
          <w:p>
            <w:r>
              <w:rPr>
                <w:rFonts w:ascii="Arial" w:hAnsi="Arial"/>
                <w:color w:val="1D2735"/>
                <w:sz w:val="16"/>
              </w:rPr>
              <w:t>Данные</w:t>
            </w:r>
          </w:p>
        </w:tc>
        <w:tc>
          <w:tcPr>
            <w:tcW w:type="dxa" w:w="3485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8F5F0"/>
          </w:tcPr>
          <w:p>
            <w:r>
              <w:rPr>
                <w:rFonts w:ascii="Arial" w:hAnsi="Arial"/>
                <w:color w:val="1D2735"/>
                <w:sz w:val="16"/>
              </w:rPr>
              <w:t>Смотрим выручку</w:t>
            </w:r>
          </w:p>
        </w:tc>
        <w:tc>
          <w:tcPr>
            <w:tcW w:type="dxa" w:w="3485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8F5F0"/>
          </w:tcPr>
          <w:p>
            <w:r>
              <w:rPr>
                <w:rFonts w:ascii="Arial" w:hAnsi="Arial"/>
                <w:color w:val="1D2735"/>
                <w:sz w:val="16"/>
              </w:rPr>
              <w:t>Когорты, повторные продажи, CAC, возвраты по SKU/партии</w:t>
            </w:r>
          </w:p>
        </w:tc>
      </w:tr>
      <w:tr>
        <w:tc>
          <w:tcPr>
            <w:tcW w:type="dxa" w:w="3485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6"/>
              </w:rPr>
              <w:t>Поставщик</w:t>
            </w:r>
          </w:p>
        </w:tc>
        <w:tc>
          <w:tcPr>
            <w:tcW w:type="dxa" w:w="3485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6"/>
              </w:rPr>
              <w:t>Один завод</w:t>
            </w:r>
          </w:p>
        </w:tc>
        <w:tc>
          <w:tcPr>
            <w:tcW w:type="dxa" w:w="3485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6"/>
              </w:rPr>
              <w:t>Спецификация + backup + сменяемость</w:t>
            </w:r>
          </w:p>
        </w:tc>
      </w:tr>
    </w:tbl>
    <w:p>
      <w:pPr>
        <w:spacing w:after="0"/>
      </w:pPr>
    </w:p>
    <w:p>
      <w:pPr>
        <w:pStyle w:val="Heading1"/>
      </w:pPr>
      <w:r>
        <w:t>4. MOQ и пик потребности в деньгах</w:t>
      </w:r>
    </w:p>
    <w:p>
      <w:r>
        <w:t>В XLSX effective MOQ считается как максимум продуктового, упаковочного и печатного минимумов. Пик cash — не стоимость первой партии, а момент, когда необходимо предоплатить повторный заказ при ещё не распроданном остатке.</w:t>
      </w:r>
    </w:p>
    <w:p>
      <w:pPr>
        <w:pStyle w:val="Heading1"/>
      </w:pPr>
      <w:r>
        <w:t>5. Система качества</w:t>
      </w:r>
    </w:p>
    <w:p>
      <w:pPr>
        <w:pStyle w:val="ListBullet"/>
      </w:pPr>
      <w:r>
        <w:t>Specification freeze: версия характеристик и упаковки имеет номер и дату.</w:t>
      </w:r>
    </w:p>
    <w:p>
      <w:pPr>
        <w:pStyle w:val="ListBullet"/>
      </w:pPr>
      <w:r>
        <w:t>Golden sample: эталон до серии.</w:t>
      </w:r>
    </w:p>
    <w:p>
      <w:pPr>
        <w:pStyle w:val="ListBullet"/>
      </w:pPr>
      <w:r>
        <w:t>Incoming QC: выборочная приёмка бренда независимо от фабричного контроля.</w:t>
      </w:r>
    </w:p>
    <w:p>
      <w:pPr>
        <w:pStyle w:val="ListBullet"/>
      </w:pPr>
      <w:r>
        <w:t>Batch traceability: партия связана с документами и претензиями.</w:t>
      </w:r>
    </w:p>
    <w:p>
      <w:pPr>
        <w:pStyle w:val="ListBullet"/>
      </w:pPr>
      <w:r>
        <w:t>Change control: замена сырья/тары требует согласования.</w:t>
      </w:r>
    </w:p>
    <w:p>
      <w:pPr>
        <w:pStyle w:val="ListBullet"/>
      </w:pPr>
      <w:r>
        <w:t>CAPA: повторяющийся дефект приводит к анализу причины и проверке исправления.</w:t>
      </w:r>
    </w:p>
    <w:p>
      <w:pPr>
        <w:pStyle w:val="Heading1"/>
      </w:pPr>
      <w:r>
        <w:t>6. Юридическая карта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85"/>
        <w:gridCol w:w="3485"/>
        <w:gridCol w:w="3485"/>
      </w:tblGrid>
      <w:tr>
        <w:tc>
          <w:tcPr>
            <w:tcW w:type="dxa" w:w="3485"/>
            <w:shd w:fill="0E1E35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Контур</w:t>
            </w:r>
          </w:p>
        </w:tc>
        <w:tc>
          <w:tcPr>
            <w:tcW w:type="dxa" w:w="3485"/>
            <w:shd w:fill="0E1E35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Что проверить</w:t>
            </w:r>
          </w:p>
        </w:tc>
        <w:tc>
          <w:tcPr>
            <w:tcW w:type="dxa" w:w="3485"/>
            <w:shd w:fill="0E1E35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Красный флаг</w:t>
            </w:r>
          </w:p>
        </w:tc>
      </w:tr>
      <w:tr>
        <w:tc>
          <w:tcPr>
            <w:tcW w:type="dxa" w:w="3485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6"/>
              </w:rPr>
              <w:t>Товарный знак</w:t>
            </w:r>
          </w:p>
        </w:tc>
        <w:tc>
          <w:tcPr>
            <w:tcW w:type="dxa" w:w="3485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6"/>
              </w:rPr>
              <w:t>Поиск + стратегия регистрации</w:t>
            </w:r>
          </w:p>
        </w:tc>
        <w:tc>
          <w:tcPr>
            <w:tcW w:type="dxa" w:w="3485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6"/>
              </w:rPr>
              <w:t>Крупная печать до проверки обозначения</w:t>
            </w:r>
          </w:p>
        </w:tc>
      </w:tr>
      <w:tr>
        <w:tc>
          <w:tcPr>
            <w:tcW w:type="dxa" w:w="3485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8F5F0"/>
          </w:tcPr>
          <w:p>
            <w:r>
              <w:rPr>
                <w:rFonts w:ascii="Arial" w:hAnsi="Arial"/>
                <w:color w:val="1D2735"/>
                <w:sz w:val="16"/>
              </w:rPr>
              <w:t>Изготовитель</w:t>
            </w:r>
          </w:p>
        </w:tc>
        <w:tc>
          <w:tcPr>
            <w:tcW w:type="dxa" w:w="3485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8F5F0"/>
          </w:tcPr>
          <w:p>
            <w:r>
              <w:rPr>
                <w:rFonts w:ascii="Arial" w:hAnsi="Arial"/>
                <w:color w:val="1D2735"/>
                <w:sz w:val="16"/>
              </w:rPr>
              <w:t>Кто реально производит и как указан на маркировке</w:t>
            </w:r>
          </w:p>
        </w:tc>
        <w:tc>
          <w:tcPr>
            <w:tcW w:type="dxa" w:w="3485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8F5F0"/>
          </w:tcPr>
          <w:p>
            <w:r>
              <w:rPr>
                <w:rFonts w:ascii="Arial" w:hAnsi="Arial"/>
                <w:color w:val="1D2735"/>
                <w:sz w:val="16"/>
              </w:rPr>
              <w:t>Попытка скрыть обязательные данные</w:t>
            </w:r>
          </w:p>
        </w:tc>
      </w:tr>
      <w:tr>
        <w:tc>
          <w:tcPr>
            <w:tcW w:type="dxa" w:w="3485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6"/>
              </w:rPr>
              <w:t>Соответствие</w:t>
            </w:r>
          </w:p>
        </w:tc>
        <w:tc>
          <w:tcPr>
            <w:tcW w:type="dxa" w:w="3485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6"/>
              </w:rPr>
              <w:t>ТР ЕАЭС/РФ и документ именно на SKU</w:t>
            </w:r>
          </w:p>
        </w:tc>
        <w:tc>
          <w:tcPr>
            <w:tcW w:type="dxa" w:w="3485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6"/>
              </w:rPr>
              <w:t>Документ «на похожий товар»</w:t>
            </w:r>
          </w:p>
        </w:tc>
      </w:tr>
      <w:tr>
        <w:tc>
          <w:tcPr>
            <w:tcW w:type="dxa" w:w="3485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8F5F0"/>
          </w:tcPr>
          <w:p>
            <w:r>
              <w:rPr>
                <w:rFonts w:ascii="Arial" w:hAnsi="Arial"/>
                <w:color w:val="1D2735"/>
                <w:sz w:val="16"/>
              </w:rPr>
              <w:t>Честный ЗНАК</w:t>
            </w:r>
          </w:p>
        </w:tc>
        <w:tc>
          <w:tcPr>
            <w:tcW w:type="dxa" w:w="3485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8F5F0"/>
          </w:tcPr>
          <w:p>
            <w:r>
              <w:rPr>
                <w:rFonts w:ascii="Arial" w:hAnsi="Arial"/>
                <w:color w:val="1D2735"/>
                <w:sz w:val="16"/>
              </w:rPr>
              <w:t>Товарная группа, роли, GTIN, коды, ввод</w:t>
            </w:r>
          </w:p>
        </w:tc>
        <w:tc>
          <w:tcPr>
            <w:tcW w:type="dxa" w:w="3485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8F5F0"/>
          </w:tcPr>
          <w:p>
            <w:r>
              <w:rPr>
                <w:rFonts w:ascii="Arial" w:hAnsi="Arial"/>
                <w:color w:val="1D2735"/>
                <w:sz w:val="16"/>
              </w:rPr>
              <w:t>Никто не описывает процесс</w:t>
            </w:r>
          </w:p>
        </w:tc>
      </w:tr>
      <w:tr>
        <w:tc>
          <w:tcPr>
            <w:tcW w:type="dxa" w:w="3485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6"/>
              </w:rPr>
              <w:t>Претензии</w:t>
            </w:r>
          </w:p>
        </w:tc>
        <w:tc>
          <w:tcPr>
            <w:tcW w:type="dxa" w:w="3485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6"/>
              </w:rPr>
              <w:t>SLA, брак, экспертиза, отзыв</w:t>
            </w:r>
          </w:p>
        </w:tc>
        <w:tc>
          <w:tcPr>
            <w:tcW w:type="dxa" w:w="3485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6"/>
              </w:rPr>
              <w:t>Фабрика отвечает только до ворот</w:t>
            </w:r>
          </w:p>
        </w:tc>
      </w:tr>
      <w:tr>
        <w:tc>
          <w:tcPr>
            <w:tcW w:type="dxa" w:w="3485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8F5F0"/>
          </w:tcPr>
          <w:p>
            <w:r>
              <w:rPr>
                <w:rFonts w:ascii="Arial" w:hAnsi="Arial"/>
                <w:color w:val="1D2735"/>
                <w:sz w:val="16"/>
              </w:rPr>
              <w:t>IP/дизайн</w:t>
            </w:r>
          </w:p>
        </w:tc>
        <w:tc>
          <w:tcPr>
            <w:tcW w:type="dxa" w:w="3485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8F5F0"/>
          </w:tcPr>
          <w:p>
            <w:r>
              <w:rPr>
                <w:rFonts w:ascii="Arial" w:hAnsi="Arial"/>
                <w:color w:val="1D2735"/>
                <w:sz w:val="16"/>
              </w:rPr>
              <w:t>Исходники, формула/ТЗ, эксклюзив</w:t>
            </w:r>
          </w:p>
        </w:tc>
        <w:tc>
          <w:tcPr>
            <w:tcW w:type="dxa" w:w="3485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8F5F0"/>
          </w:tcPr>
          <w:p>
            <w:r>
              <w:rPr>
                <w:rFonts w:ascii="Arial" w:hAnsi="Arial"/>
                <w:color w:val="1D2735"/>
                <w:sz w:val="16"/>
              </w:rPr>
              <w:t>Непонятно, кому принадлежат материалы</w:t>
            </w:r>
          </w:p>
        </w:tc>
      </w:tr>
    </w:tbl>
    <w:p>
      <w:pPr>
        <w:spacing w:after="0"/>
      </w:pPr>
    </w:p>
    <w:p>
      <w:pPr>
        <w:pStyle w:val="Heading1"/>
      </w:pPr>
      <w:r>
        <w:t>7. KPI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85"/>
        <w:gridCol w:w="3485"/>
        <w:gridCol w:w="3485"/>
      </w:tblGrid>
      <w:tr>
        <w:tc>
          <w:tcPr>
            <w:tcW w:type="dxa" w:w="3485"/>
            <w:shd w:fill="0E1E35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KPI</w:t>
            </w:r>
          </w:p>
        </w:tc>
        <w:tc>
          <w:tcPr>
            <w:tcW w:type="dxa" w:w="3485"/>
            <w:shd w:fill="0E1E35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Зачем</w:t>
            </w:r>
          </w:p>
        </w:tc>
        <w:tc>
          <w:tcPr>
            <w:tcW w:type="dxa" w:w="3485"/>
            <w:shd w:fill="0E1E35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Тревожный сигнал</w:t>
            </w:r>
          </w:p>
        </w:tc>
      </w:tr>
      <w:tr>
        <w:tc>
          <w:tcPr>
            <w:tcW w:type="dxa" w:w="3485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6"/>
              </w:rPr>
              <w:t>Маржа вклада</w:t>
            </w:r>
          </w:p>
        </w:tc>
        <w:tc>
          <w:tcPr>
            <w:tcW w:type="dxa" w:w="3485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6"/>
              </w:rPr>
              <w:t>Полная прибыльность единицы</w:t>
            </w:r>
          </w:p>
        </w:tc>
        <w:tc>
          <w:tcPr>
            <w:tcW w:type="dxa" w:w="3485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6"/>
              </w:rPr>
              <w:t>Исчезает при промо/рекламе</w:t>
            </w:r>
          </w:p>
        </w:tc>
      </w:tr>
      <w:tr>
        <w:tc>
          <w:tcPr>
            <w:tcW w:type="dxa" w:w="3485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8F5F0"/>
          </w:tcPr>
          <w:p>
            <w:r>
              <w:rPr>
                <w:rFonts w:ascii="Arial" w:hAnsi="Arial"/>
                <w:color w:val="1D2735"/>
                <w:sz w:val="16"/>
              </w:rPr>
              <w:t>Sell-through 30/60/90</w:t>
            </w:r>
          </w:p>
        </w:tc>
        <w:tc>
          <w:tcPr>
            <w:tcW w:type="dxa" w:w="3485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8F5F0"/>
          </w:tcPr>
          <w:p>
            <w:r>
              <w:rPr>
                <w:rFonts w:ascii="Arial" w:hAnsi="Arial"/>
                <w:color w:val="1D2735"/>
                <w:sz w:val="16"/>
              </w:rPr>
              <w:t>Скорость превращения запаса в деньги</w:t>
            </w:r>
          </w:p>
        </w:tc>
        <w:tc>
          <w:tcPr>
            <w:tcW w:type="dxa" w:w="3485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8F5F0"/>
          </w:tcPr>
          <w:p>
            <w:r>
              <w:rPr>
                <w:rFonts w:ascii="Arial" w:hAnsi="Arial"/>
                <w:color w:val="1D2735"/>
                <w:sz w:val="16"/>
              </w:rPr>
              <w:t>Партия лежит дольше плана</w:t>
            </w:r>
          </w:p>
        </w:tc>
      </w:tr>
      <w:tr>
        <w:tc>
          <w:tcPr>
            <w:tcW w:type="dxa" w:w="3485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6"/>
              </w:rPr>
              <w:t>Запас, месяцев</w:t>
            </w:r>
          </w:p>
        </w:tc>
        <w:tc>
          <w:tcPr>
            <w:tcW w:type="dxa" w:w="3485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6"/>
              </w:rPr>
              <w:t>Риск замороженного cash</w:t>
            </w:r>
          </w:p>
        </w:tc>
        <w:tc>
          <w:tcPr>
            <w:tcW w:type="dxa" w:w="3485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6"/>
              </w:rPr>
              <w:t>Выше 3–4 месяцев консервативных продаж</w:t>
            </w:r>
          </w:p>
        </w:tc>
      </w:tr>
      <w:tr>
        <w:tc>
          <w:tcPr>
            <w:tcW w:type="dxa" w:w="3485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8F5F0"/>
          </w:tcPr>
          <w:p>
            <w:r>
              <w:rPr>
                <w:rFonts w:ascii="Arial" w:hAnsi="Arial"/>
                <w:color w:val="1D2735"/>
                <w:sz w:val="16"/>
              </w:rPr>
              <w:t>Повторные покупки</w:t>
            </w:r>
          </w:p>
        </w:tc>
        <w:tc>
          <w:tcPr>
            <w:tcW w:type="dxa" w:w="3485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8F5F0"/>
          </w:tcPr>
          <w:p>
            <w:r>
              <w:rPr>
                <w:rFonts w:ascii="Arial" w:hAnsi="Arial"/>
                <w:color w:val="1D2735"/>
                <w:sz w:val="16"/>
              </w:rPr>
              <w:t>Ценность продукта</w:t>
            </w:r>
          </w:p>
        </w:tc>
        <w:tc>
          <w:tcPr>
            <w:tcW w:type="dxa" w:w="3485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8F5F0"/>
          </w:tcPr>
          <w:p>
            <w:r>
              <w:rPr>
                <w:rFonts w:ascii="Arial" w:hAnsi="Arial"/>
                <w:color w:val="1D2735"/>
                <w:sz w:val="16"/>
              </w:rPr>
              <w:t>Покупают один раз</w:t>
            </w:r>
          </w:p>
        </w:tc>
      </w:tr>
      <w:tr>
        <w:tc>
          <w:tcPr>
            <w:tcW w:type="dxa" w:w="3485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6"/>
              </w:rPr>
              <w:t>Возвраты/претензии</w:t>
            </w:r>
          </w:p>
        </w:tc>
        <w:tc>
          <w:tcPr>
            <w:tcW w:type="dxa" w:w="3485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6"/>
              </w:rPr>
              <w:t>Качество и ожидания</w:t>
            </w:r>
          </w:p>
        </w:tc>
        <w:tc>
          <w:tcPr>
            <w:tcW w:type="dxa" w:w="3485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6"/>
              </w:rPr>
              <w:t>Рост по партии</w:t>
            </w:r>
          </w:p>
        </w:tc>
      </w:tr>
      <w:tr>
        <w:tc>
          <w:tcPr>
            <w:tcW w:type="dxa" w:w="3485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8F5F0"/>
          </w:tcPr>
          <w:p>
            <w:r>
              <w:rPr>
                <w:rFonts w:ascii="Arial" w:hAnsi="Arial"/>
                <w:color w:val="1D2735"/>
                <w:sz w:val="16"/>
              </w:rPr>
              <w:t>CAC / доля промо</w:t>
            </w:r>
          </w:p>
        </w:tc>
        <w:tc>
          <w:tcPr>
            <w:tcW w:type="dxa" w:w="3485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8F5F0"/>
          </w:tcPr>
          <w:p>
            <w:r>
              <w:rPr>
                <w:rFonts w:ascii="Arial" w:hAnsi="Arial"/>
                <w:color w:val="1D2735"/>
                <w:sz w:val="16"/>
              </w:rPr>
              <w:t>Зависимость от платного трафика</w:t>
            </w:r>
          </w:p>
        </w:tc>
        <w:tc>
          <w:tcPr>
            <w:tcW w:type="dxa" w:w="3485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8F5F0"/>
          </w:tcPr>
          <w:p>
            <w:r>
              <w:rPr>
                <w:rFonts w:ascii="Arial" w:hAnsi="Arial"/>
                <w:color w:val="1D2735"/>
                <w:sz w:val="16"/>
              </w:rPr>
              <w:t>Маржа есть только со скидкой</w:t>
            </w:r>
          </w:p>
        </w:tc>
      </w:tr>
      <w:tr>
        <w:tc>
          <w:tcPr>
            <w:tcW w:type="dxa" w:w="3485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6"/>
              </w:rPr>
              <w:t>OTIF поставщика</w:t>
            </w:r>
          </w:p>
        </w:tc>
        <w:tc>
          <w:tcPr>
            <w:tcW w:type="dxa" w:w="3485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6"/>
              </w:rPr>
              <w:t>Надёжность поставки</w:t>
            </w:r>
          </w:p>
        </w:tc>
        <w:tc>
          <w:tcPr>
            <w:tcW w:type="dxa" w:w="3485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6"/>
              </w:rPr>
              <w:t>Срывы повторного заказа</w:t>
            </w:r>
          </w:p>
        </w:tc>
      </w:tr>
    </w:tbl>
    <w:p>
      <w:pPr>
        <w:spacing w:after="0"/>
      </w:pPr>
    </w:p>
    <w:p>
      <w:pPr>
        <w:pStyle w:val="Heading1"/>
      </w:pPr>
      <w:r>
        <w:t>8. Gate перед масштабированием</w:t>
      </w:r>
    </w:p>
    <w:p>
      <w:pPr>
        <w:pStyle w:val="ListBullet"/>
      </w:pPr>
      <w:r>
        <w:t>Маржа вклада положительна в базовом и слабом сценарии.</w:t>
      </w:r>
    </w:p>
    <w:p>
      <w:pPr>
        <w:pStyle w:val="ListBullet"/>
      </w:pPr>
      <w:r>
        <w:t>Есть деньги на повторный заказ до полной распродажи первой партии.</w:t>
      </w:r>
    </w:p>
    <w:p>
      <w:pPr>
        <w:pStyle w:val="ListBullet"/>
      </w:pPr>
      <w:r>
        <w:t>Поставщик проходит due diligence без критических красных флагов.</w:t>
      </w:r>
    </w:p>
    <w:p>
      <w:pPr>
        <w:pStyle w:val="ListBullet"/>
      </w:pPr>
      <w:r>
        <w:t>Партия и упаковка прослеживаются; отзыв и претензия описаны.</w:t>
      </w:r>
    </w:p>
    <w:p>
      <w:pPr>
        <w:pStyle w:val="ListBullet"/>
      </w:pPr>
      <w:r>
        <w:t>Спрос существует без постоянной экстремальной скидки.</w:t>
      </w:r>
    </w:p>
    <w:p>
      <w:pPr>
        <w:pStyle w:val="ListBullet"/>
      </w:pPr>
      <w:r>
        <w:t>Есть хотя бы один механизм защиты: аудитория, канал, сервис, эксклюзив или данные.</w:t>
      </w:r>
    </w:p>
    <w:p>
      <w:pPr>
        <w:pStyle w:val="Heading1"/>
      </w:pPr>
      <w:r>
        <w:t>Источники и границы фактчека</w:t>
      </w:r>
    </w:p>
    <w:p>
      <w:r>
        <w:t>Фактчек: 07.09.2026. Публичные MOQ и цены — предложения конкретных производителей, а не среднерыночные нормативы. Требования к соответствию и маркировке зависят от конкретной товарной категории и роли участника цепочки.</w:t>
      </w:r>
    </w:p>
    <w:p>
      <w:pPr>
        <w:pStyle w:val="ListBullet"/>
      </w:pPr>
      <w:hyperlink r:id="rId11">
        <w:r>
          <w:rPr>
            <w:color w:val="0563C1"/>
            <w:u w:val="single"/>
          </w:rPr>
          <w:t>Data Insight — «Экосистема электронной торговли 2026»</w:t>
        </w:r>
      </w:hyperlink>
      <w:r>
        <w:t xml:space="preserve"> — Отдельный блок «Работа с брендом и СТМ»: производители, посредники, регистрация марки и сертификация.</w:t>
      </w:r>
    </w:p>
    <w:p>
      <w:pPr>
        <w:pStyle w:val="ListBullet"/>
      </w:pPr>
      <w:hyperlink r:id="rId12">
        <w:r>
          <w:rPr>
            <w:color w:val="0563C1"/>
            <w:u w:val="single"/>
          </w:rPr>
          <w:t>NeoAnalytics / РБК — рынок СТМ, итоги 2025</w:t>
        </w:r>
      </w:hyperlink>
      <w:r>
        <w:t xml:space="preserve"> — Динамика СТМ опережает FMCG и розничную торговлю; СТМ становятся отдельной индустрией контрактного производства.</w:t>
      </w:r>
    </w:p>
    <w:p>
      <w:pPr>
        <w:pStyle w:val="ListBullet"/>
      </w:pPr>
      <w:hyperlink r:id="rId13">
        <w:r>
          <w:rPr>
            <w:color w:val="0563C1"/>
            <w:u w:val="single"/>
          </w:rPr>
          <w:t>Роспатент — актуальная таблица пошлин</w:t>
        </w:r>
      </w:hyperlink>
      <w:r>
        <w:t xml:space="preserve"> — На 07.09.2026: заявка — 4 000 ₽ + доплаты по классам; экспертиза — 13 000 ₽ + доплаты; регистрация и электронное свидетельство — 18 000 ₽ + доплаты.</w:t>
      </w:r>
    </w:p>
    <w:p>
      <w:pPr>
        <w:pStyle w:val="ListBullet"/>
      </w:pPr>
      <w:hyperlink r:id="rId14">
        <w:r>
          <w:rPr>
            <w:color w:val="0563C1"/>
            <w:u w:val="single"/>
          </w:rPr>
          <w:t>Закон о защите прав потребителей — статья 10</w:t>
        </w:r>
      </w:hyperlink>
      <w:r>
        <w:t xml:space="preserve"> — Изготовитель, продавец и исполнитель обязаны давать потребителю необходимую и достоверную информацию.</w:t>
      </w:r>
    </w:p>
    <w:p>
      <w:pPr>
        <w:pStyle w:val="ListBullet"/>
      </w:pPr>
      <w:hyperlink r:id="rId15">
        <w:r>
          <w:rPr>
            <w:color w:val="0563C1"/>
            <w:u w:val="single"/>
          </w:rPr>
          <w:t>Закон о защите прав потребителей — статья 18</w:t>
        </w:r>
      </w:hyperlink>
      <w:r>
        <w:t xml:space="preserve"> — Ответственность за недостатки товара в предусмотренных законом случаях несут продавец, изготовитель и другие указанные лица.</w:t>
      </w:r>
    </w:p>
    <w:p>
      <w:pPr>
        <w:pStyle w:val="ListBullet"/>
      </w:pPr>
      <w:hyperlink r:id="rId16">
        <w:r>
          <w:rPr>
            <w:color w:val="0563C1"/>
            <w:u w:val="single"/>
          </w:rPr>
          <w:t>ТР ТС 022/2011 — маркировка пищевой продукции</w:t>
        </w:r>
      </w:hyperlink>
      <w:r>
        <w:t xml:space="preserve"> — Пример категорийного регулирования: обязательные сведения в маркировке пищевой продукции, включая изготовителя.</w:t>
      </w:r>
    </w:p>
    <w:p>
      <w:pPr>
        <w:pStyle w:val="ListBullet"/>
      </w:pPr>
      <w:hyperlink r:id="rId17">
        <w:r>
          <w:rPr>
            <w:color w:val="0563C1"/>
            <w:u w:val="single"/>
          </w:rPr>
          <w:t>Честный ЗНАК — контрактное производство и коды маркировки</w:t>
        </w:r>
      </w:hyperlink>
      <w:r>
        <w:t xml:space="preserve"> — Роли в маркировке зависят от схемы контрактного производства и собственности на сырьё/товар.</w:t>
      </w:r>
    </w:p>
    <w:p>
      <w:pPr>
        <w:pStyle w:val="ListBullet"/>
      </w:pPr>
      <w:hyperlink r:id="rId18">
        <w:r>
          <w:rPr>
            <w:color w:val="0563C1"/>
            <w:u w:val="single"/>
          </w:rPr>
          <w:t>BeautyLine — контрактное производство косметики</w:t>
        </w:r>
      </w:hyperlink>
      <w:r>
        <w:t xml:space="preserve"> — Публичный пример: минимальный объём от 200 л; на сайте приведён эквивалент 500 флаконов по 400 мл.</w:t>
      </w:r>
    </w:p>
    <w:p>
      <w:pPr>
        <w:pStyle w:val="ListBullet"/>
      </w:pPr>
      <w:hyperlink r:id="rId19">
        <w:r>
          <w:rPr>
            <w:color w:val="0563C1"/>
            <w:u w:val="single"/>
          </w:rPr>
          <w:t>Damalli — косметика под СТМ</w:t>
        </w:r>
      </w:hyperlink>
      <w:r>
        <w:t xml:space="preserve"> — Публичный пример: отдельные позиции от 500 шт.; на странице есть цены по тиражам и включённые операции.</w:t>
      </w:r>
    </w:p>
    <w:p>
      <w:pPr>
        <w:pStyle w:val="ListBullet"/>
      </w:pPr>
      <w:hyperlink r:id="rId20">
        <w:r>
          <w:rPr>
            <w:color w:val="0563C1"/>
            <w:u w:val="single"/>
          </w:rPr>
          <w:t>PRIVET LABEL — контрактное производство БАД</w:t>
        </w:r>
      </w:hyperlink>
      <w:r>
        <w:t xml:space="preserve"> — Публичный пример минимальной партии от 300 упаковок.</w:t>
      </w:r>
    </w:p>
    <w:p>
      <w:pPr>
        <w:pStyle w:val="ListBullet"/>
      </w:pPr>
      <w:hyperlink r:id="rId21">
        <w:r>
          <w:rPr>
            <w:color w:val="0563C1"/>
            <w:u w:val="single"/>
          </w:rPr>
          <w:t>DEART — бытовая химия под СТМ</w:t>
        </w:r>
      </w:hyperlink>
      <w:r>
        <w:t xml:space="preserve"> — Публичный пример минимального заказа от 1 000 шт.</w:t>
      </w:r>
    </w:p>
    <w:p>
      <w:pPr>
        <w:pStyle w:val="ListBullet"/>
      </w:pPr>
      <w:hyperlink r:id="rId22">
        <w:r>
          <w:rPr>
            <w:color w:val="0563C1"/>
            <w:u w:val="single"/>
          </w:rPr>
          <w:t>PBCompany — бытовая химия, контрактное производство</w:t>
        </w:r>
      </w:hyperlink>
      <w:r>
        <w:t xml:space="preserve"> — Публичный пример: MOQ определяется производством и минимальной закупкой комплектующих; описаны 6–10 тыс. флаконов в зависимости от тары.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792" w:right="893" w:bottom="792" w:left="8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697181"/>
        <w:sz w:val="15"/>
      </w:rPr>
      <w:t>Досье модели  •  фактчек 07.09.2026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/>
        <w:b/>
        <w:color w:val="697181"/>
        <w:sz w:val="15"/>
      </w:rPr>
      <w:t>БИЗНЕС ПОД МИКРОСКОПОМ  •  БИЗНЕС-МОДЕЛИ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4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E1E3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1D2735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E1E35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Lead">
    <w:name w:val="Lead"/>
    <w:pPr>
      <w:spacing w:after="160"/>
    </w:pPr>
    <w:rPr>
      <w:rFonts w:ascii="Arial" w:hAnsi="Arial"/>
      <w:color w:val="697181"/>
      <w:sz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ecommerce.datainsight.ru/" TargetMode="External"/><Relationship Id="rId12" Type="http://schemas.openxmlformats.org/officeDocument/2006/relationships/hyperlink" Target="https://marketing.rbc.ru/articles/16481/" TargetMode="External"/><Relationship Id="rId13" Type="http://schemas.openxmlformats.org/officeDocument/2006/relationships/hyperlink" Target="https://rospatent.gov.ru/ru/activities/dues/table" TargetMode="External"/><Relationship Id="rId14" Type="http://schemas.openxmlformats.org/officeDocument/2006/relationships/hyperlink" Target="https://www.consultant.ru/document/cons_doc_LAW_305/e96b1cbe2a0795305a08c97b1a7f34ddab4ae908/" TargetMode="External"/><Relationship Id="rId15" Type="http://schemas.openxmlformats.org/officeDocument/2006/relationships/hyperlink" Target="https://www.consultant.ru/document/cons_doc_LAW_305/76ae101b731ecc22467fd9f1f14cb9e2b8799026/" TargetMode="External"/><Relationship Id="rId16" Type="http://schemas.openxmlformats.org/officeDocument/2006/relationships/hyperlink" Target="https://www.consultant.ru/document/cons_doc_LAW_124614/6ab20e093bf33afdae0c68aa39dfe35a7958b065/" TargetMode="External"/><Relationship Id="rId17" Type="http://schemas.openxmlformats.org/officeDocument/2006/relationships/hyperlink" Target="https://markirovka.ru/community/rabota-v-natsionalnom-kataloge/nanesenie-kodov-pri-kontraktnom-proizvodstve" TargetMode="External"/><Relationship Id="rId18" Type="http://schemas.openxmlformats.org/officeDocument/2006/relationships/hyperlink" Target="https://beauty-line.pro/" TargetMode="External"/><Relationship Id="rId19" Type="http://schemas.openxmlformats.org/officeDocument/2006/relationships/hyperlink" Target="https://damalli.ru/" TargetMode="External"/><Relationship Id="rId20" Type="http://schemas.openxmlformats.org/officeDocument/2006/relationships/hyperlink" Target="https://privetlabel.ru/" TargetMode="External"/><Relationship Id="rId21" Type="http://schemas.openxmlformats.org/officeDocument/2006/relationships/hyperlink" Target="https://deart-ctm.ru/" TargetMode="External"/><Relationship Id="rId22" Type="http://schemas.openxmlformats.org/officeDocument/2006/relationships/hyperlink" Target="https://pbcompany.ru/kontraktnoe-proizvodstv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